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B69D5" w14:textId="0D495C63" w:rsidR="00361E65" w:rsidRPr="00081FE5" w:rsidRDefault="00361E65" w:rsidP="006741F0">
      <w:pPr>
        <w:jc w:val="center"/>
        <w:outlineLvl w:val="0"/>
        <w:rPr>
          <w:rFonts w:ascii="Century Gothic" w:hAnsi="Century Gothic"/>
          <w:b/>
          <w:sz w:val="32"/>
          <w:szCs w:val="24"/>
        </w:rPr>
      </w:pPr>
      <w:r w:rsidRPr="00081FE5">
        <w:rPr>
          <w:rFonts w:ascii="Century Gothic" w:hAnsi="Century Gothic"/>
          <w:b/>
          <w:sz w:val="32"/>
          <w:szCs w:val="24"/>
        </w:rPr>
        <w:t>ИНФОРМАЦИОННОЕ ПИСЬМО</w:t>
      </w:r>
    </w:p>
    <w:p w14:paraId="5B67BA6A" w14:textId="0CA98D53" w:rsidR="00CD008F" w:rsidRDefault="00361E65" w:rsidP="00361E65">
      <w:pPr>
        <w:jc w:val="center"/>
        <w:rPr>
          <w:rFonts w:ascii="Century Gothic" w:hAnsi="Century Gothic"/>
        </w:rPr>
      </w:pPr>
      <w:r w:rsidRPr="00361E65">
        <w:rPr>
          <w:rFonts w:ascii="Century Gothic" w:hAnsi="Century Gothic"/>
        </w:rPr>
        <w:t>«О</w:t>
      </w:r>
      <w:r w:rsidR="00350448" w:rsidRPr="00361E65">
        <w:rPr>
          <w:rFonts w:ascii="Century Gothic" w:hAnsi="Century Gothic"/>
        </w:rPr>
        <w:t xml:space="preserve"> порядке определения </w:t>
      </w:r>
      <w:r w:rsidR="003D4E85">
        <w:rPr>
          <w:rFonts w:ascii="Century Gothic" w:hAnsi="Century Gothic"/>
        </w:rPr>
        <w:t xml:space="preserve">и распределения </w:t>
      </w:r>
      <w:r w:rsidR="00350448" w:rsidRPr="00361E65">
        <w:rPr>
          <w:rFonts w:ascii="Century Gothic" w:hAnsi="Century Gothic"/>
        </w:rPr>
        <w:t xml:space="preserve">результатов инвестирования средств пенсионных накоплений, расчета постоянной и переменной части вознаграждения </w:t>
      </w:r>
      <w:r w:rsidR="00510D68">
        <w:rPr>
          <w:rFonts w:ascii="Century Gothic" w:hAnsi="Century Gothic"/>
        </w:rPr>
        <w:t xml:space="preserve">фонда </w:t>
      </w:r>
      <w:r w:rsidRPr="00361E65">
        <w:rPr>
          <w:rFonts w:ascii="Century Gothic" w:hAnsi="Century Gothic"/>
        </w:rPr>
        <w:t>за управление средствами пенсионных накоплений и применении отдельных Указаний Банка России»</w:t>
      </w:r>
    </w:p>
    <w:p w14:paraId="43C72835" w14:textId="77777777" w:rsidR="00B34919" w:rsidRPr="00361E65" w:rsidRDefault="00B34919" w:rsidP="00361E65">
      <w:pPr>
        <w:jc w:val="center"/>
        <w:rPr>
          <w:rFonts w:ascii="Century Gothic" w:hAnsi="Century Gothic"/>
        </w:rPr>
      </w:pPr>
    </w:p>
    <w:p w14:paraId="35674A87" w14:textId="6F167027" w:rsidR="00361E65" w:rsidRDefault="00361E65" w:rsidP="000E271E">
      <w:pPr>
        <w:ind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В целях обеспечения единого подхода к применению требований </w:t>
      </w:r>
      <w:r w:rsidR="003D4E85">
        <w:rPr>
          <w:rFonts w:ascii="Century Gothic" w:hAnsi="Century Gothic"/>
          <w:sz w:val="20"/>
        </w:rPr>
        <w:t>п.</w:t>
      </w:r>
      <w:r w:rsidR="006741F0">
        <w:rPr>
          <w:rFonts w:ascii="Century Gothic" w:hAnsi="Century Gothic"/>
          <w:sz w:val="20"/>
        </w:rPr>
        <w:t> </w:t>
      </w:r>
      <w:r w:rsidR="003D4E85">
        <w:rPr>
          <w:rFonts w:ascii="Century Gothic" w:hAnsi="Century Gothic"/>
          <w:sz w:val="20"/>
        </w:rPr>
        <w:t xml:space="preserve">36.23 Федерального закона </w:t>
      </w:r>
      <w:r w:rsidR="006741F0">
        <w:rPr>
          <w:rFonts w:ascii="Century Gothic" w:hAnsi="Century Gothic"/>
          <w:sz w:val="20"/>
        </w:rPr>
        <w:t>№ </w:t>
      </w:r>
      <w:r w:rsidR="003D4E85">
        <w:rPr>
          <w:rFonts w:ascii="Century Gothic" w:hAnsi="Century Gothic"/>
          <w:sz w:val="20"/>
        </w:rPr>
        <w:t>75-ФЗ</w:t>
      </w:r>
      <w:r w:rsidR="006741F0">
        <w:rPr>
          <w:rFonts w:ascii="Century Gothic" w:hAnsi="Century Gothic"/>
          <w:sz w:val="20"/>
        </w:rPr>
        <w:t xml:space="preserve"> «</w:t>
      </w:r>
      <w:r w:rsidR="006741F0" w:rsidRPr="00C102C2">
        <w:rPr>
          <w:rFonts w:ascii="Century Gothic" w:hAnsi="Century Gothic"/>
          <w:sz w:val="20"/>
        </w:rPr>
        <w:t>О негосударственных пенсионных фондах»</w:t>
      </w:r>
      <w:r w:rsidR="006741F0">
        <w:rPr>
          <w:rFonts w:ascii="Century Gothic" w:hAnsi="Century Gothic"/>
          <w:sz w:val="20"/>
        </w:rPr>
        <w:t xml:space="preserve"> (далее </w:t>
      </w:r>
      <w:r w:rsidR="00597402">
        <w:rPr>
          <w:rFonts w:ascii="Century Gothic" w:hAnsi="Century Gothic"/>
          <w:sz w:val="20"/>
        </w:rPr>
        <w:t xml:space="preserve">- </w:t>
      </w:r>
      <w:r w:rsidR="006741F0">
        <w:rPr>
          <w:rFonts w:ascii="Century Gothic" w:hAnsi="Century Gothic"/>
          <w:sz w:val="20"/>
        </w:rPr>
        <w:t xml:space="preserve">закон </w:t>
      </w:r>
      <w:r w:rsidR="00BD02D9">
        <w:rPr>
          <w:rFonts w:ascii="Century Gothic" w:hAnsi="Century Gothic"/>
          <w:sz w:val="20"/>
        </w:rPr>
        <w:t>№ </w:t>
      </w:r>
      <w:r w:rsidR="006741F0">
        <w:rPr>
          <w:rFonts w:ascii="Century Gothic" w:hAnsi="Century Gothic"/>
          <w:sz w:val="20"/>
        </w:rPr>
        <w:t>75-ФЗ)</w:t>
      </w:r>
      <w:r w:rsidR="007E27D5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</w:t>
      </w:r>
      <w:r w:rsidR="007756BF">
        <w:rPr>
          <w:rFonts w:ascii="Century Gothic" w:hAnsi="Century Gothic"/>
          <w:sz w:val="20"/>
        </w:rPr>
        <w:t>НАПФ доводит до сведения</w:t>
      </w:r>
      <w:r w:rsidR="009C4A0F">
        <w:rPr>
          <w:rFonts w:ascii="Century Gothic" w:hAnsi="Century Gothic"/>
          <w:sz w:val="20"/>
        </w:rPr>
        <w:t xml:space="preserve"> членов Ассоциации</w:t>
      </w:r>
      <w:r w:rsidR="007756BF">
        <w:rPr>
          <w:rFonts w:ascii="Century Gothic" w:hAnsi="Century Gothic"/>
          <w:sz w:val="20"/>
        </w:rPr>
        <w:t xml:space="preserve"> п</w:t>
      </w:r>
      <w:r w:rsidR="009C4A0F">
        <w:rPr>
          <w:rFonts w:ascii="Century Gothic" w:hAnsi="Century Gothic"/>
          <w:sz w:val="20"/>
        </w:rPr>
        <w:t>озицию</w:t>
      </w:r>
      <w:r w:rsidR="00EE40A6">
        <w:rPr>
          <w:rFonts w:ascii="Century Gothic" w:hAnsi="Century Gothic"/>
          <w:sz w:val="20"/>
        </w:rPr>
        <w:t xml:space="preserve"> Комитета</w:t>
      </w:r>
      <w:r w:rsidR="00EE40A6" w:rsidRPr="00EE40A6">
        <w:t xml:space="preserve"> </w:t>
      </w:r>
      <w:r w:rsidR="00EE40A6" w:rsidRPr="00EE40A6">
        <w:rPr>
          <w:rFonts w:ascii="Century Gothic" w:hAnsi="Century Gothic"/>
          <w:sz w:val="20"/>
        </w:rPr>
        <w:t>по вопросам бухучета и налогообложения НПФ</w:t>
      </w:r>
      <w:r w:rsidR="009C4A0F">
        <w:rPr>
          <w:rFonts w:ascii="Century Gothic" w:hAnsi="Century Gothic"/>
          <w:sz w:val="20"/>
        </w:rPr>
        <w:t xml:space="preserve"> определения результатов инвестирования средств пенсионных накоплений и расчета величины вознаграждения фонда-страховщика по обязательному пенсионному страхованию.</w:t>
      </w:r>
    </w:p>
    <w:p w14:paraId="44900AE3" w14:textId="77777777" w:rsidR="00B34919" w:rsidRDefault="00B34919" w:rsidP="000E271E">
      <w:pPr>
        <w:ind w:firstLine="708"/>
        <w:jc w:val="both"/>
        <w:rPr>
          <w:rFonts w:ascii="Century Gothic" w:hAnsi="Century Gothic"/>
          <w:sz w:val="20"/>
        </w:rPr>
      </w:pPr>
    </w:p>
    <w:p w14:paraId="56A2E499" w14:textId="77777777" w:rsidR="00FD2D42" w:rsidRPr="00FD2D42" w:rsidRDefault="00D45608" w:rsidP="00FD2D42">
      <w:pPr>
        <w:spacing w:after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1. </w:t>
      </w:r>
      <w:r w:rsidR="00FD2D42" w:rsidRPr="00FD2D42">
        <w:rPr>
          <w:rFonts w:ascii="Century Gothic" w:hAnsi="Century Gothic"/>
          <w:b/>
          <w:sz w:val="20"/>
        </w:rPr>
        <w:t xml:space="preserve">Определение размера постоянной части вознаграждения </w:t>
      </w:r>
      <w:r w:rsidR="00043DD1">
        <w:rPr>
          <w:rFonts w:ascii="Century Gothic" w:hAnsi="Century Gothic"/>
          <w:b/>
          <w:sz w:val="20"/>
        </w:rPr>
        <w:t>фонда</w:t>
      </w:r>
      <w:r w:rsidR="00976EB8">
        <w:rPr>
          <w:rFonts w:ascii="Century Gothic" w:hAnsi="Century Gothic"/>
          <w:b/>
          <w:sz w:val="20"/>
        </w:rPr>
        <w:t>.</w:t>
      </w:r>
    </w:p>
    <w:p w14:paraId="4228AD54" w14:textId="77777777" w:rsidR="009C4A0F" w:rsidRPr="00CA3E07" w:rsidRDefault="00FD2D42" w:rsidP="00FD2D42">
      <w:pPr>
        <w:spacing w:after="0"/>
        <w:jc w:val="both"/>
        <w:rPr>
          <w:rFonts w:ascii="Century Gothic" w:hAnsi="Century Gothic"/>
          <w:sz w:val="18"/>
        </w:rPr>
      </w:pPr>
      <w:r w:rsidRPr="00CA3E07">
        <w:rPr>
          <w:rFonts w:ascii="Century Gothic" w:hAnsi="Century Gothic"/>
          <w:sz w:val="18"/>
        </w:rPr>
        <w:t>(п.2 ст. 36.23 закона №</w:t>
      </w:r>
      <w:r w:rsidR="006741F0">
        <w:rPr>
          <w:rFonts w:ascii="Century Gothic" w:hAnsi="Century Gothic"/>
          <w:sz w:val="18"/>
        </w:rPr>
        <w:t> </w:t>
      </w:r>
      <w:r w:rsidRPr="00CA3E07">
        <w:rPr>
          <w:rFonts w:ascii="Century Gothic" w:hAnsi="Century Gothic"/>
          <w:sz w:val="18"/>
        </w:rPr>
        <w:t>75-ФЗ)</w:t>
      </w:r>
    </w:p>
    <w:p w14:paraId="2D8E5100" w14:textId="77777777" w:rsidR="00D45608" w:rsidRDefault="00D45608" w:rsidP="00D45608">
      <w:pPr>
        <w:spacing w:after="0"/>
        <w:jc w:val="both"/>
        <w:rPr>
          <w:rFonts w:ascii="Century Gothic" w:hAnsi="Century Gothic"/>
          <w:sz w:val="20"/>
        </w:rPr>
      </w:pPr>
    </w:p>
    <w:p w14:paraId="18A7852C" w14:textId="2645FAE7" w:rsidR="00043DD1" w:rsidRDefault="00D45608" w:rsidP="000E271E">
      <w:pPr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1.1. </w:t>
      </w:r>
      <w:r w:rsidR="00FD2D42" w:rsidRPr="00D45608">
        <w:rPr>
          <w:rFonts w:ascii="Century Gothic" w:hAnsi="Century Gothic"/>
          <w:sz w:val="20"/>
        </w:rPr>
        <w:t>Оплата постоянной части вознаграждения</w:t>
      </w:r>
      <w:r w:rsidR="00043DD1">
        <w:rPr>
          <w:rFonts w:ascii="Century Gothic" w:hAnsi="Century Gothic"/>
          <w:sz w:val="20"/>
        </w:rPr>
        <w:t xml:space="preserve"> фонда</w:t>
      </w:r>
      <w:r w:rsidR="00FD2D42" w:rsidRPr="00D45608">
        <w:rPr>
          <w:rFonts w:ascii="Century Gothic" w:hAnsi="Century Gothic"/>
          <w:sz w:val="20"/>
        </w:rPr>
        <w:t xml:space="preserve"> производится за счет средств пенсионных накоплений. Постоянная часть вознаграждения</w:t>
      </w:r>
      <w:r w:rsidR="00BD02D9">
        <w:rPr>
          <w:rFonts w:ascii="Century Gothic" w:hAnsi="Century Gothic"/>
          <w:sz w:val="20"/>
        </w:rPr>
        <w:t xml:space="preserve"> фонда</w:t>
      </w:r>
      <w:r w:rsidR="00FD2D42" w:rsidRPr="00D45608">
        <w:rPr>
          <w:rFonts w:ascii="Century Gothic" w:hAnsi="Century Gothic"/>
          <w:sz w:val="20"/>
        </w:rPr>
        <w:t xml:space="preserve"> уменьшает результат инвестирования средств пенсионных накоплений текущего отчетного периода. Постоянная часть вознаграждения</w:t>
      </w:r>
      <w:r w:rsidR="00043DD1">
        <w:rPr>
          <w:rFonts w:ascii="Century Gothic" w:hAnsi="Century Gothic"/>
          <w:sz w:val="20"/>
        </w:rPr>
        <w:t xml:space="preserve"> фонда</w:t>
      </w:r>
      <w:r w:rsidR="00FD2D42" w:rsidRPr="00D45608">
        <w:rPr>
          <w:rFonts w:ascii="Century Gothic" w:hAnsi="Century Gothic"/>
          <w:sz w:val="20"/>
        </w:rPr>
        <w:t xml:space="preserve"> признается в бухгалтерском учете </w:t>
      </w:r>
      <w:r w:rsidR="00567BF8" w:rsidRPr="00D45608">
        <w:rPr>
          <w:rFonts w:ascii="Century Gothic" w:hAnsi="Century Gothic"/>
          <w:sz w:val="20"/>
        </w:rPr>
        <w:t xml:space="preserve">на регулярной основе </w:t>
      </w:r>
      <w:r w:rsidR="00FD2D42" w:rsidRPr="00D45608">
        <w:rPr>
          <w:rFonts w:ascii="Century Gothic" w:hAnsi="Century Gothic"/>
          <w:sz w:val="20"/>
        </w:rPr>
        <w:t>в соответствии с порядком, предусмотренным действующим законодательством</w:t>
      </w:r>
      <w:r w:rsidR="00FD2D42">
        <w:rPr>
          <w:rStyle w:val="a6"/>
          <w:rFonts w:ascii="Century Gothic" w:hAnsi="Century Gothic"/>
          <w:sz w:val="20"/>
        </w:rPr>
        <w:footnoteReference w:id="1"/>
      </w:r>
      <w:r w:rsidR="00CA7680">
        <w:rPr>
          <w:rFonts w:ascii="Century Gothic" w:hAnsi="Century Gothic"/>
          <w:sz w:val="20"/>
        </w:rPr>
        <w:t>, учетной политикой</w:t>
      </w:r>
      <w:r w:rsidR="00FD2D42" w:rsidRPr="00D45608">
        <w:rPr>
          <w:rFonts w:ascii="Century Gothic" w:hAnsi="Century Gothic"/>
          <w:sz w:val="20"/>
        </w:rPr>
        <w:t xml:space="preserve"> и </w:t>
      </w:r>
      <w:r w:rsidR="00352EF4">
        <w:rPr>
          <w:rFonts w:ascii="Century Gothic" w:hAnsi="Century Gothic"/>
          <w:sz w:val="20"/>
        </w:rPr>
        <w:t>страховыми правилами</w:t>
      </w:r>
      <w:r w:rsidR="00FD2D42" w:rsidRPr="00D45608">
        <w:rPr>
          <w:rFonts w:ascii="Century Gothic" w:hAnsi="Century Gothic"/>
          <w:sz w:val="20"/>
        </w:rPr>
        <w:t xml:space="preserve"> фонда</w:t>
      </w:r>
      <w:r w:rsidR="00081FE5" w:rsidRPr="00D45608">
        <w:rPr>
          <w:rFonts w:ascii="Century Gothic" w:hAnsi="Century Gothic"/>
          <w:sz w:val="20"/>
        </w:rPr>
        <w:t>,</w:t>
      </w:r>
      <w:r w:rsidR="00567BF8" w:rsidRPr="00D45608">
        <w:rPr>
          <w:rFonts w:ascii="Century Gothic" w:hAnsi="Century Gothic"/>
          <w:sz w:val="20"/>
        </w:rPr>
        <w:t xml:space="preserve"> вне зависимости от фактического перечисления денежных средств между видами имущества</w:t>
      </w:r>
      <w:r w:rsidR="00FD2D42" w:rsidRPr="00D45608">
        <w:rPr>
          <w:rFonts w:ascii="Century Gothic" w:hAnsi="Century Gothic"/>
          <w:sz w:val="20"/>
        </w:rPr>
        <w:t>.</w:t>
      </w:r>
    </w:p>
    <w:p w14:paraId="6DACB70F" w14:textId="3209569B" w:rsidR="007E27D5" w:rsidRDefault="00B44FAB" w:rsidP="00EE40A6">
      <w:pPr>
        <w:autoSpaceDE w:val="0"/>
        <w:autoSpaceDN w:val="0"/>
        <w:adjustRightInd w:val="0"/>
        <w:spacing w:after="0"/>
        <w:ind w:firstLine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С</w:t>
      </w:r>
      <w:r w:rsidR="007E27D5">
        <w:rPr>
          <w:rFonts w:ascii="Century Gothic" w:hAnsi="Century Gothic"/>
          <w:sz w:val="20"/>
        </w:rPr>
        <w:t xml:space="preserve"> учетом изменения законодательства в части </w:t>
      </w:r>
      <w:r w:rsidR="00CA7680">
        <w:rPr>
          <w:rFonts w:ascii="Century Gothic" w:hAnsi="Century Gothic"/>
          <w:sz w:val="20"/>
        </w:rPr>
        <w:t>определения п</w:t>
      </w:r>
      <w:r w:rsidR="007E27D5">
        <w:rPr>
          <w:rFonts w:ascii="Century Gothic" w:hAnsi="Century Gothic"/>
          <w:sz w:val="20"/>
        </w:rPr>
        <w:t>остоянно</w:t>
      </w:r>
      <w:r w:rsidR="00362112">
        <w:rPr>
          <w:rFonts w:ascii="Century Gothic" w:hAnsi="Century Gothic"/>
          <w:sz w:val="20"/>
        </w:rPr>
        <w:t xml:space="preserve">й </w:t>
      </w:r>
      <w:r w:rsidR="00D12757">
        <w:rPr>
          <w:rFonts w:ascii="Century Gothic" w:hAnsi="Century Gothic"/>
          <w:sz w:val="20"/>
        </w:rPr>
        <w:t>части вознаграждения</w:t>
      </w:r>
      <w:r w:rsidR="007E27D5">
        <w:rPr>
          <w:rFonts w:ascii="Century Gothic" w:hAnsi="Century Gothic"/>
          <w:sz w:val="20"/>
        </w:rPr>
        <w:t xml:space="preserve"> с 18.03.2018 года формула для расчета </w:t>
      </w:r>
      <w:r w:rsidR="00CA7680">
        <w:rPr>
          <w:rFonts w:ascii="Century Gothic" w:hAnsi="Century Gothic"/>
          <w:sz w:val="20"/>
        </w:rPr>
        <w:t>п</w:t>
      </w:r>
      <w:r w:rsidR="007E27D5">
        <w:rPr>
          <w:rFonts w:ascii="Century Gothic" w:hAnsi="Century Gothic"/>
          <w:sz w:val="20"/>
        </w:rPr>
        <w:t xml:space="preserve">остоянной части вознаграждения </w:t>
      </w:r>
      <w:r w:rsidR="00043DD1">
        <w:rPr>
          <w:rFonts w:ascii="Century Gothic" w:hAnsi="Century Gothic"/>
          <w:sz w:val="20"/>
        </w:rPr>
        <w:t xml:space="preserve">фонда </w:t>
      </w:r>
      <w:r w:rsidR="007E27D5">
        <w:rPr>
          <w:rFonts w:ascii="Century Gothic" w:hAnsi="Century Gothic"/>
          <w:sz w:val="20"/>
        </w:rPr>
        <w:t>имеет следующий вид (</w:t>
      </w:r>
      <w:r w:rsidR="00043DD1" w:rsidRPr="00043DD1">
        <w:rPr>
          <w:rFonts w:ascii="Century Gothic" w:hAnsi="Century Gothic" w:cs="Century Gothic"/>
          <w:sz w:val="20"/>
          <w:szCs w:val="20"/>
        </w:rPr>
        <w:t>с учетом требований, предусмотренных п.</w:t>
      </w:r>
      <w:r w:rsidR="00BD02D9">
        <w:rPr>
          <w:rFonts w:ascii="Century Gothic" w:hAnsi="Century Gothic" w:cs="Century Gothic"/>
          <w:sz w:val="20"/>
          <w:szCs w:val="20"/>
        </w:rPr>
        <w:t> </w:t>
      </w:r>
      <w:r w:rsidR="00043DD1" w:rsidRPr="00043DD1">
        <w:rPr>
          <w:rFonts w:ascii="Century Gothic" w:hAnsi="Century Gothic" w:cs="Century Gothic"/>
          <w:sz w:val="20"/>
          <w:szCs w:val="20"/>
        </w:rPr>
        <w:t>2 ст.</w:t>
      </w:r>
      <w:r w:rsidR="00BD02D9">
        <w:rPr>
          <w:rFonts w:ascii="Century Gothic" w:hAnsi="Century Gothic" w:cs="Century Gothic"/>
          <w:sz w:val="20"/>
          <w:szCs w:val="20"/>
        </w:rPr>
        <w:t> </w:t>
      </w:r>
      <w:r w:rsidR="00043DD1" w:rsidRPr="00043DD1">
        <w:rPr>
          <w:rFonts w:ascii="Century Gothic" w:hAnsi="Century Gothic" w:cs="Century Gothic"/>
          <w:sz w:val="20"/>
          <w:szCs w:val="20"/>
        </w:rPr>
        <w:t>36.23 закона</w:t>
      </w:r>
      <w:r w:rsidR="00043DD1">
        <w:rPr>
          <w:rFonts w:ascii="Century Gothic" w:hAnsi="Century Gothic" w:cs="Century Gothic"/>
          <w:sz w:val="20"/>
          <w:szCs w:val="20"/>
        </w:rPr>
        <w:t xml:space="preserve"> № 75-ФЗ и</w:t>
      </w:r>
      <w:r w:rsidR="00A0259D">
        <w:rPr>
          <w:rFonts w:ascii="Century Gothic" w:hAnsi="Century Gothic" w:cs="Century Gothic"/>
          <w:sz w:val="20"/>
          <w:szCs w:val="20"/>
        </w:rPr>
        <w:t>,</w:t>
      </w:r>
      <w:r w:rsidR="00043DD1">
        <w:rPr>
          <w:rFonts w:ascii="Century Gothic" w:hAnsi="Century Gothic"/>
          <w:sz w:val="20"/>
        </w:rPr>
        <w:t xml:space="preserve"> </w:t>
      </w:r>
      <w:r w:rsidR="007E27D5">
        <w:rPr>
          <w:rFonts w:ascii="Century Gothic" w:hAnsi="Century Gothic"/>
          <w:sz w:val="20"/>
        </w:rPr>
        <w:t>в зависимости от сложившейся ситуации в каждом фонде, некоторые показатели могут отсутствовать)</w:t>
      </w:r>
      <w:r w:rsidR="009843F7">
        <w:rPr>
          <w:rFonts w:ascii="Century Gothic" w:hAnsi="Century Gothic"/>
          <w:sz w:val="20"/>
        </w:rPr>
        <w:t>:</w:t>
      </w:r>
    </w:p>
    <w:p w14:paraId="64FE7836" w14:textId="77777777" w:rsidR="00B34919" w:rsidRDefault="00B34919" w:rsidP="00EE40A6">
      <w:pPr>
        <w:autoSpaceDE w:val="0"/>
        <w:autoSpaceDN w:val="0"/>
        <w:adjustRightInd w:val="0"/>
        <w:spacing w:after="0"/>
        <w:ind w:firstLine="425"/>
        <w:jc w:val="both"/>
        <w:rPr>
          <w:rFonts w:ascii="Century Gothic" w:hAnsi="Century Gothic"/>
          <w:sz w:val="20"/>
        </w:rPr>
      </w:pPr>
    </w:p>
    <w:p w14:paraId="15F79EA2" w14:textId="4D2ACB4F" w:rsidR="007E27D5" w:rsidRPr="00762A92" w:rsidRDefault="007E27D5" w:rsidP="00762A92">
      <w:pPr>
        <w:autoSpaceDE w:val="0"/>
        <w:autoSpaceDN w:val="0"/>
        <w:adjustRightInd w:val="0"/>
        <w:spacing w:after="0"/>
        <w:ind w:firstLine="425"/>
        <w:jc w:val="both"/>
        <w:rPr>
          <w:rFonts w:ascii="Century Gothic" w:hAnsi="Century Gothic"/>
          <w:sz w:val="20"/>
        </w:rPr>
      </w:pPr>
      <m:oMath>
        <m:r>
          <m:rPr>
            <m:sty m:val="p"/>
          </m:rPr>
          <w:rPr>
            <w:rFonts w:ascii="Cambria Math" w:hAnsi="Cambria Math"/>
            <w:sz w:val="20"/>
          </w:rPr>
          <m:t xml:space="preserve">S=0,75%× </m:t>
        </m:r>
        <m:f>
          <m:fPr>
            <m:ctrlPr>
              <w:rPr>
                <w:rFonts w:ascii="Cambria Math" w:hAnsi="Cambria Math"/>
                <w:sz w:val="2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СЧА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sz w:val="20"/>
          </w:rPr>
          <m:t>-НРУК+АСВ+РОПС</m:t>
        </m:r>
      </m:oMath>
      <w:r w:rsidRPr="00762A92">
        <w:rPr>
          <w:rFonts w:ascii="Century Gothic" w:hAnsi="Century Gothic"/>
          <w:sz w:val="20"/>
        </w:rPr>
        <w:t>, где</w:t>
      </w:r>
      <w:r w:rsidR="00043DD1" w:rsidRPr="00762A92">
        <w:rPr>
          <w:rFonts w:ascii="Century Gothic" w:hAnsi="Century Gothic"/>
          <w:sz w:val="20"/>
        </w:rPr>
        <w:t>:</w:t>
      </w:r>
    </w:p>
    <w:p w14:paraId="11568FFA" w14:textId="77777777" w:rsidR="00B34919" w:rsidRPr="00B34919" w:rsidRDefault="00B34919" w:rsidP="00976EB8">
      <w:pPr>
        <w:pStyle w:val="11"/>
        <w:numPr>
          <w:ilvl w:val="0"/>
          <w:numId w:val="0"/>
        </w:numPr>
        <w:ind w:left="426"/>
        <w:jc w:val="left"/>
        <w:outlineLvl w:val="0"/>
        <w:rPr>
          <w:rFonts w:ascii="Century Gothic" w:eastAsiaTheme="minorEastAsia" w:hAnsi="Century Gothic" w:cs="Century Gothic"/>
          <w:sz w:val="20"/>
        </w:rPr>
      </w:pPr>
    </w:p>
    <w:p w14:paraId="57D719BE" w14:textId="2B4C3873" w:rsidR="00D12757" w:rsidRPr="00D45608" w:rsidRDefault="00D12757" w:rsidP="00976EB8">
      <w:pPr>
        <w:pStyle w:val="11"/>
        <w:numPr>
          <w:ilvl w:val="0"/>
          <w:numId w:val="0"/>
        </w:numPr>
        <w:ind w:left="426"/>
        <w:jc w:val="left"/>
        <w:outlineLvl w:val="0"/>
        <w:rPr>
          <w:rFonts w:ascii="Century Gothic" w:eastAsiaTheme="minorHAnsi" w:hAnsi="Century Gothic" w:cstheme="minorBidi"/>
          <w:sz w:val="20"/>
          <w:szCs w:val="22"/>
        </w:rPr>
      </w:pPr>
      <w:r w:rsidRPr="00D12757">
        <w:rPr>
          <w:rFonts w:ascii="Century Gothic" w:eastAsiaTheme="minorHAnsi" w:hAnsi="Century Gothic" w:cstheme="minorBidi"/>
          <w:sz w:val="20"/>
          <w:szCs w:val="22"/>
        </w:rPr>
        <w:t>S</w:t>
      </w:r>
      <w:r>
        <w:rPr>
          <w:rFonts w:ascii="Century Gothic" w:eastAsiaTheme="minorHAnsi" w:hAnsi="Century Gothic" w:cstheme="minorBidi"/>
          <w:sz w:val="20"/>
          <w:szCs w:val="22"/>
        </w:rPr>
        <w:t xml:space="preserve">   - постоянная часть вознаграждения фонда;</w:t>
      </w:r>
    </w:p>
    <w:p w14:paraId="578D5AC8" w14:textId="06869164" w:rsidR="007E27D5" w:rsidRPr="00D45608" w:rsidRDefault="00A062C9" w:rsidP="00976EB8">
      <w:pPr>
        <w:pStyle w:val="11"/>
        <w:numPr>
          <w:ilvl w:val="0"/>
          <w:numId w:val="0"/>
        </w:numPr>
        <w:ind w:left="426"/>
        <w:rPr>
          <w:rFonts w:ascii="Century Gothic" w:eastAsiaTheme="minorHAnsi" w:hAnsi="Century Gothic" w:cstheme="minorBidi"/>
          <w:sz w:val="20"/>
          <w:szCs w:val="22"/>
        </w:rPr>
      </w:pPr>
      <m:oMath>
        <m:sSub>
          <m:sSubPr>
            <m:ctrlPr>
              <w:rPr>
                <w:rFonts w:ascii="Cambria Math" w:eastAsiaTheme="minorHAnsi" w:hAnsi="Cambria Math" w:cstheme="minorBidi"/>
                <w:sz w:val="20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theme="minorBidi"/>
                <w:sz w:val="20"/>
                <w:szCs w:val="22"/>
              </w:rPr>
              <m:t>СЧА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theme="minorBidi"/>
                <w:sz w:val="20"/>
                <w:szCs w:val="22"/>
              </w:rPr>
              <m:t>i</m:t>
            </m:r>
          </m:sub>
        </m:sSub>
      </m:oMath>
      <w:r w:rsidR="007E27D5" w:rsidRPr="00D45608">
        <w:rPr>
          <w:rFonts w:ascii="Century Gothic" w:eastAsiaTheme="minorHAnsi" w:hAnsi="Century Gothic" w:cstheme="minorBidi"/>
          <w:sz w:val="20"/>
          <w:szCs w:val="22"/>
        </w:rPr>
        <w:t xml:space="preserve"> – стоимость чистых активов на </w:t>
      </w:r>
      <w:proofErr w:type="gramStart"/>
      <w:r w:rsidR="007E27D5" w:rsidRPr="00D45608">
        <w:rPr>
          <w:rFonts w:ascii="Century Gothic" w:eastAsiaTheme="minorHAnsi" w:hAnsi="Century Gothic" w:cstheme="minorBidi"/>
          <w:sz w:val="20"/>
          <w:szCs w:val="22"/>
        </w:rPr>
        <w:t xml:space="preserve">день </w:t>
      </w:r>
      <m:oMath>
        <m:r>
          <m:rPr>
            <m:sty m:val="p"/>
          </m:rPr>
          <w:rPr>
            <w:rFonts w:ascii="Cambria Math" w:eastAsiaTheme="minorHAnsi" w:hAnsi="Cambria Math" w:cstheme="minorBidi"/>
            <w:sz w:val="20"/>
            <w:szCs w:val="22"/>
          </w:rPr>
          <m:t xml:space="preserve">i </m:t>
        </m:r>
      </m:oMath>
      <w:r w:rsidR="00C246C4" w:rsidRPr="00C246C4">
        <w:t xml:space="preserve"> </w:t>
      </w:r>
      <w:r w:rsidR="00C246C4">
        <w:t>(</w:t>
      </w:r>
      <w:proofErr w:type="gramEnd"/>
      <w:r w:rsidR="00C246C4" w:rsidRPr="00C246C4">
        <w:rPr>
          <w:rFonts w:ascii="Century Gothic" w:eastAsiaTheme="minorHAnsi" w:hAnsi="Century Gothic" w:cstheme="minorBidi"/>
          <w:sz w:val="20"/>
          <w:szCs w:val="22"/>
        </w:rPr>
        <w:t>на конец каждого рабочего дня отчетного года по всем договорам доверительного управления средствами пенсионных накоплений</w:t>
      </w:r>
      <w:r w:rsidR="00C246C4">
        <w:rPr>
          <w:rFonts w:ascii="Century Gothic" w:eastAsiaTheme="minorHAnsi" w:hAnsi="Century Gothic" w:cstheme="minorBidi"/>
          <w:sz w:val="20"/>
          <w:szCs w:val="22"/>
        </w:rPr>
        <w:t>) с</w:t>
      </w:r>
      <w:r w:rsidR="007E27D5" w:rsidRPr="00D45608">
        <w:rPr>
          <w:rFonts w:ascii="Century Gothic" w:eastAsiaTheme="minorHAnsi" w:hAnsi="Century Gothic" w:cstheme="minorBidi"/>
          <w:sz w:val="20"/>
          <w:szCs w:val="22"/>
        </w:rPr>
        <w:t xml:space="preserve">огласно Таблицам (у каждого Фонда свои данные по </w:t>
      </w:r>
      <w:r w:rsidR="00DB6BB8" w:rsidRPr="00D45608">
        <w:rPr>
          <w:rFonts w:ascii="Century Gothic" w:eastAsiaTheme="minorHAnsi" w:hAnsi="Century Gothic" w:cstheme="minorBidi"/>
          <w:sz w:val="20"/>
          <w:szCs w:val="22"/>
        </w:rPr>
        <w:t>СЧА) в</w:t>
      </w:r>
      <w:r w:rsidR="007E27D5" w:rsidRPr="00D45608">
        <w:rPr>
          <w:rFonts w:ascii="Century Gothic" w:eastAsiaTheme="minorHAnsi" w:hAnsi="Century Gothic" w:cstheme="minorBidi"/>
          <w:sz w:val="20"/>
          <w:szCs w:val="22"/>
        </w:rPr>
        <w:t xml:space="preserve"> соответствии с портфелем;</w:t>
      </w:r>
    </w:p>
    <w:p w14:paraId="64E091C1" w14:textId="6815B598" w:rsidR="007E27D5" w:rsidRPr="00D45608" w:rsidRDefault="007E27D5" w:rsidP="00976EB8">
      <w:pPr>
        <w:pStyle w:val="11"/>
        <w:numPr>
          <w:ilvl w:val="0"/>
          <w:numId w:val="0"/>
        </w:numPr>
        <w:ind w:left="426"/>
        <w:rPr>
          <w:rFonts w:ascii="Century Gothic" w:eastAsiaTheme="minorHAnsi" w:hAnsi="Century Gothic" w:cstheme="minorBidi"/>
          <w:sz w:val="20"/>
          <w:szCs w:val="22"/>
        </w:rPr>
      </w:pPr>
      <m:oMath>
        <m:r>
          <m:rPr>
            <m:sty m:val="p"/>
          </m:rPr>
          <w:rPr>
            <w:rFonts w:ascii="Cambria Math" w:eastAsiaTheme="minorHAnsi" w:hAnsi="Cambria Math" w:cstheme="minorBidi"/>
            <w:sz w:val="20"/>
            <w:szCs w:val="22"/>
          </w:rPr>
          <m:t>НРУК</m:t>
        </m:r>
      </m:oMath>
      <w:r w:rsidRPr="00D45608">
        <w:rPr>
          <w:rFonts w:ascii="Century Gothic" w:eastAsiaTheme="minorHAnsi" w:hAnsi="Century Gothic" w:cstheme="minorBidi"/>
          <w:sz w:val="20"/>
          <w:szCs w:val="22"/>
        </w:rPr>
        <w:t xml:space="preserve"> – необходимые расходы </w:t>
      </w:r>
      <w:r w:rsidR="00DB6BB8" w:rsidRPr="00D45608">
        <w:rPr>
          <w:rFonts w:ascii="Century Gothic" w:eastAsiaTheme="minorHAnsi" w:hAnsi="Century Gothic" w:cstheme="minorBidi"/>
          <w:sz w:val="20"/>
          <w:szCs w:val="22"/>
        </w:rPr>
        <w:t>Управляющих компаний</w:t>
      </w:r>
      <w:r w:rsidR="00352EF4">
        <w:rPr>
          <w:rFonts w:ascii="Century Gothic" w:eastAsiaTheme="minorHAnsi" w:hAnsi="Century Gothic" w:cstheme="minorBidi"/>
          <w:sz w:val="20"/>
          <w:szCs w:val="22"/>
        </w:rPr>
        <w:t>,</w:t>
      </w:r>
      <w:r w:rsidR="00FF717C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352EF4" w:rsidRPr="00352EF4">
        <w:rPr>
          <w:rFonts w:ascii="Century Gothic" w:eastAsiaTheme="minorHAnsi" w:hAnsi="Century Gothic" w:cstheme="minorBidi"/>
          <w:sz w:val="20"/>
          <w:szCs w:val="22"/>
        </w:rPr>
        <w:t>непосредственно связанные с инвестированием средств пенсионных накоплений и оплачиваемые из средств пенсионных накоплений, произведенные (оплаченные) с начала отчетного года по дату расчета включительно</w:t>
      </w:r>
      <w:r w:rsidR="00FF717C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DB6BB8" w:rsidRPr="00D45608">
        <w:rPr>
          <w:rFonts w:ascii="Century Gothic" w:eastAsiaTheme="minorHAnsi" w:hAnsi="Century Gothic" w:cstheme="minorBidi"/>
          <w:sz w:val="20"/>
          <w:szCs w:val="22"/>
        </w:rPr>
        <w:t xml:space="preserve">(у каждого Фонда свои данные, образец см. </w:t>
      </w:r>
      <w:r w:rsidR="00362112">
        <w:rPr>
          <w:rFonts w:ascii="Century Gothic" w:eastAsiaTheme="minorHAnsi" w:hAnsi="Century Gothic" w:cstheme="minorBidi"/>
          <w:sz w:val="20"/>
          <w:szCs w:val="22"/>
        </w:rPr>
        <w:t xml:space="preserve">в Таблице </w:t>
      </w:r>
      <w:r w:rsidR="00DB6BB8" w:rsidRPr="00D45608">
        <w:rPr>
          <w:rFonts w:ascii="Century Gothic" w:eastAsiaTheme="minorHAnsi" w:hAnsi="Century Gothic" w:cstheme="minorBidi"/>
          <w:sz w:val="20"/>
          <w:szCs w:val="22"/>
        </w:rPr>
        <w:t xml:space="preserve">ниже) 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>в соответствии с портфелем;</w:t>
      </w:r>
    </w:p>
    <w:p w14:paraId="26837DF9" w14:textId="0A739714" w:rsidR="007E27D5" w:rsidRPr="00CA7680" w:rsidRDefault="007E27D5">
      <w:pPr>
        <w:pStyle w:val="11"/>
        <w:numPr>
          <w:ilvl w:val="0"/>
          <w:numId w:val="0"/>
        </w:numPr>
        <w:ind w:left="426"/>
        <w:rPr>
          <w:rFonts w:ascii="Century Gothic" w:eastAsiaTheme="minorHAnsi" w:hAnsi="Century Gothic" w:cstheme="minorBidi"/>
          <w:sz w:val="20"/>
          <w:szCs w:val="22"/>
        </w:rPr>
      </w:pPr>
      <m:oMath>
        <m:r>
          <m:rPr>
            <m:sty m:val="p"/>
          </m:rPr>
          <w:rPr>
            <w:rFonts w:ascii="Cambria Math" w:eastAsiaTheme="minorHAnsi" w:hAnsi="Cambria Math"/>
            <w:sz w:val="20"/>
          </w:rPr>
          <m:t>АСВ</m:t>
        </m:r>
      </m:oMath>
      <w:r w:rsidRPr="00CA7680">
        <w:rPr>
          <w:rFonts w:ascii="Century Gothic" w:eastAsiaTheme="minorHAnsi" w:hAnsi="Century Gothic"/>
          <w:sz w:val="20"/>
        </w:rPr>
        <w:t xml:space="preserve"> – </w:t>
      </w:r>
      <w:r w:rsidR="00E7008D" w:rsidRPr="00CA7680">
        <w:rPr>
          <w:rFonts w:ascii="Century Gothic" w:eastAsiaTheme="minorHAnsi" w:hAnsi="Century Gothic"/>
          <w:sz w:val="20"/>
        </w:rPr>
        <w:t xml:space="preserve">гарантийный </w:t>
      </w:r>
      <w:r w:rsidRPr="00CA7680">
        <w:rPr>
          <w:rFonts w:ascii="Century Gothic" w:eastAsiaTheme="minorHAnsi" w:hAnsi="Century Gothic"/>
          <w:sz w:val="20"/>
        </w:rPr>
        <w:t xml:space="preserve">взнос в фонд гарантирования </w:t>
      </w:r>
      <w:r w:rsidR="00E7008D" w:rsidRPr="00CA7680">
        <w:rPr>
          <w:rFonts w:ascii="Century Gothic" w:eastAsiaTheme="minorHAnsi" w:hAnsi="Century Gothic"/>
          <w:sz w:val="20"/>
        </w:rPr>
        <w:t>пенсионных накоплений</w:t>
      </w:r>
      <w:r w:rsidRPr="00CA7680">
        <w:rPr>
          <w:rFonts w:ascii="Century Gothic" w:eastAsiaTheme="minorHAnsi" w:hAnsi="Century Gothic"/>
          <w:sz w:val="20"/>
        </w:rPr>
        <w:t xml:space="preserve"> за </w:t>
      </w:r>
      <w:r w:rsidR="00C246C4" w:rsidRPr="00CA7680">
        <w:rPr>
          <w:rFonts w:ascii="Century Gothic" w:eastAsiaTheme="minorHAnsi" w:hAnsi="Century Gothic"/>
          <w:sz w:val="20"/>
        </w:rPr>
        <w:t>отчетный</w:t>
      </w:r>
      <w:r w:rsidR="007F2E77" w:rsidRPr="00CA7680">
        <w:rPr>
          <w:rFonts w:ascii="Century Gothic" w:eastAsiaTheme="minorHAnsi" w:hAnsi="Century Gothic"/>
          <w:sz w:val="20"/>
        </w:rPr>
        <w:t xml:space="preserve"> год</w:t>
      </w:r>
      <w:r w:rsidR="00E7008D" w:rsidRPr="00CA7680">
        <w:rPr>
          <w:rFonts w:ascii="Century Gothic" w:eastAsiaTheme="minorHAnsi" w:hAnsi="Century Gothic"/>
          <w:sz w:val="20"/>
        </w:rPr>
        <w:t xml:space="preserve"> согласно 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 xml:space="preserve">ст. 15, Федерального закона от 28.12.2013 N 422-ФЗ </w:t>
      </w:r>
      <w:r w:rsidR="00FF717C">
        <w:rPr>
          <w:rFonts w:ascii="Century Gothic" w:eastAsiaTheme="minorHAnsi" w:hAnsi="Century Gothic" w:cstheme="minorBidi"/>
          <w:sz w:val="20"/>
          <w:szCs w:val="22"/>
        </w:rPr>
        <w:t>«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 xml:space="preserve">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lastRenderedPageBreak/>
        <w:t>накоплений, установлении и осуществлении выплат за счет средств</w:t>
      </w:r>
      <w:r w:rsidR="00FF717C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582FE3" w:rsidRPr="00CA7680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>пенсионных</w:t>
      </w:r>
      <w:r w:rsidR="00FF717C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582FE3" w:rsidRPr="00CA7680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>накоплений</w:t>
      </w:r>
      <w:r w:rsidR="00FF717C">
        <w:rPr>
          <w:rFonts w:ascii="Century Gothic" w:eastAsiaTheme="minorHAnsi" w:hAnsi="Century Gothic" w:cstheme="minorBidi"/>
          <w:sz w:val="20"/>
          <w:szCs w:val="22"/>
        </w:rPr>
        <w:t xml:space="preserve">»  </w:t>
      </w:r>
      <w:r w:rsidR="00582FE3" w:rsidRPr="00CA7680">
        <w:rPr>
          <w:rFonts w:ascii="Century Gothic" w:eastAsiaTheme="minorHAnsi" w:hAnsi="Century Gothic" w:cstheme="minorBidi"/>
          <w:sz w:val="20"/>
          <w:szCs w:val="22"/>
        </w:rPr>
        <w:t xml:space="preserve">( далее – закон </w:t>
      </w:r>
      <w:r w:rsidR="00C4554E">
        <w:rPr>
          <w:rFonts w:ascii="Century Gothic" w:eastAsiaTheme="minorHAnsi" w:hAnsi="Century Gothic" w:cstheme="minorBidi"/>
          <w:sz w:val="20"/>
          <w:szCs w:val="22"/>
        </w:rPr>
        <w:t>№</w:t>
      </w:r>
      <w:r w:rsidR="00582FE3" w:rsidRPr="00CA7680">
        <w:rPr>
          <w:rFonts w:ascii="Century Gothic" w:eastAsiaTheme="minorHAnsi" w:hAnsi="Century Gothic" w:cstheme="minorBidi"/>
          <w:sz w:val="20"/>
          <w:szCs w:val="22"/>
        </w:rPr>
        <w:t xml:space="preserve">422-ФЗ) 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>и</w:t>
      </w:r>
      <w:r w:rsidR="00FF717C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>п. 2 Указани</w:t>
      </w:r>
      <w:r w:rsidR="00582FE3" w:rsidRPr="00CA7680">
        <w:rPr>
          <w:rFonts w:ascii="Century Gothic" w:eastAsiaTheme="minorHAnsi" w:hAnsi="Century Gothic" w:cstheme="minorBidi"/>
          <w:sz w:val="20"/>
          <w:szCs w:val="22"/>
        </w:rPr>
        <w:t>я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 xml:space="preserve"> Банка России от 31.05.2021</w:t>
      </w:r>
      <w:r w:rsidR="00FF717C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 xml:space="preserve">5804-У </w:t>
      </w:r>
      <w:r w:rsidR="00FF717C">
        <w:rPr>
          <w:rFonts w:ascii="Century Gothic" w:eastAsiaTheme="minorHAnsi" w:hAnsi="Century Gothic" w:cstheme="minorBidi"/>
          <w:sz w:val="20"/>
          <w:szCs w:val="22"/>
        </w:rPr>
        <w:t>«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>Об установлении дополнительных требований к порядку формирования резерва негосударственного пенсионного фонда по обязательному пенсионному страхованию, ставки ежегодных отчислений в резерв негосударственного пенсионного фонда по обязательному пенсионному страхованию, а также ставки гарантийных взносов в фонд гарантирования пенсионных накоплений</w:t>
      </w:r>
      <w:r w:rsidR="00FF717C">
        <w:rPr>
          <w:rFonts w:ascii="Century Gothic" w:eastAsiaTheme="minorHAnsi" w:hAnsi="Century Gothic" w:cstheme="minorBidi"/>
          <w:sz w:val="20"/>
          <w:szCs w:val="22"/>
        </w:rPr>
        <w:t>»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 xml:space="preserve"> (далее – Указание </w:t>
      </w:r>
      <w:r w:rsidR="00C4554E">
        <w:rPr>
          <w:rFonts w:ascii="Century Gothic" w:eastAsiaTheme="minorHAnsi" w:hAnsi="Century Gothic" w:cstheme="minorBidi"/>
          <w:sz w:val="20"/>
          <w:szCs w:val="22"/>
        </w:rPr>
        <w:t>№</w:t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>5804-У</w:t>
      </w:r>
      <w:r w:rsidR="00582FE3">
        <w:rPr>
          <w:rStyle w:val="a6"/>
          <w:rFonts w:ascii="Century Gothic" w:eastAsiaTheme="minorHAnsi" w:hAnsi="Century Gothic" w:cstheme="minorBidi"/>
          <w:sz w:val="20"/>
          <w:szCs w:val="22"/>
        </w:rPr>
        <w:footnoteReference w:id="2"/>
      </w:r>
      <w:r w:rsidR="00E7008D" w:rsidRPr="00CA7680">
        <w:rPr>
          <w:rFonts w:ascii="Century Gothic" w:eastAsiaTheme="minorHAnsi" w:hAnsi="Century Gothic" w:cstheme="minorBidi"/>
          <w:sz w:val="20"/>
          <w:szCs w:val="22"/>
        </w:rPr>
        <w:t>)</w:t>
      </w:r>
      <w:r w:rsidRPr="00CA7680">
        <w:rPr>
          <w:rFonts w:ascii="Century Gothic" w:eastAsiaTheme="minorHAnsi" w:hAnsi="Century Gothic" w:cstheme="minorBidi"/>
          <w:sz w:val="20"/>
          <w:szCs w:val="22"/>
        </w:rPr>
        <w:t>;</w:t>
      </w:r>
    </w:p>
    <w:p w14:paraId="1D847BB2" w14:textId="0F778115" w:rsidR="007E27D5" w:rsidRPr="00D45608" w:rsidRDefault="007E27D5" w:rsidP="000E271E">
      <w:pPr>
        <w:pStyle w:val="11"/>
        <w:numPr>
          <w:ilvl w:val="0"/>
          <w:numId w:val="0"/>
        </w:numPr>
        <w:ind w:left="426"/>
        <w:jc w:val="left"/>
        <w:outlineLvl w:val="0"/>
        <w:rPr>
          <w:rFonts w:ascii="Century Gothic" w:eastAsiaTheme="minorHAnsi" w:hAnsi="Century Gothic" w:cstheme="minorBidi"/>
          <w:sz w:val="20"/>
          <w:szCs w:val="22"/>
        </w:rPr>
      </w:pPr>
      <m:oMath>
        <m:r>
          <m:rPr>
            <m:sty m:val="p"/>
          </m:rPr>
          <w:rPr>
            <w:rFonts w:ascii="Cambria Math" w:eastAsiaTheme="minorHAnsi" w:hAnsi="Cambria Math" w:cstheme="minorBidi"/>
            <w:sz w:val="20"/>
            <w:szCs w:val="22"/>
          </w:rPr>
          <m:t>РОПС</m:t>
        </m:r>
      </m:oMath>
      <w:r w:rsidRPr="00D45608">
        <w:rPr>
          <w:rFonts w:ascii="Century Gothic" w:eastAsiaTheme="minorHAnsi" w:hAnsi="Century Gothic" w:cstheme="minorBidi"/>
          <w:sz w:val="20"/>
          <w:szCs w:val="22"/>
        </w:rPr>
        <w:t xml:space="preserve"> – </w:t>
      </w:r>
      <w:r w:rsidR="00352EF4">
        <w:rPr>
          <w:rFonts w:ascii="Century Gothic" w:eastAsiaTheme="minorHAnsi" w:hAnsi="Century Gothic" w:cstheme="minorBidi"/>
          <w:sz w:val="20"/>
          <w:szCs w:val="22"/>
        </w:rPr>
        <w:t>отчисления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 xml:space="preserve"> в резерв фонда по обязательному пенсионному страхованию за </w:t>
      </w:r>
      <w:r w:rsidR="00C246C4">
        <w:rPr>
          <w:rFonts w:ascii="Century Gothic" w:eastAsiaTheme="minorHAnsi" w:hAnsi="Century Gothic" w:cstheme="minorBidi"/>
          <w:sz w:val="20"/>
          <w:szCs w:val="22"/>
        </w:rPr>
        <w:t>от</w:t>
      </w:r>
      <w:r w:rsidR="007F2E77" w:rsidRPr="00D45608">
        <w:rPr>
          <w:rFonts w:ascii="Century Gothic" w:eastAsiaTheme="minorHAnsi" w:hAnsi="Century Gothic" w:cstheme="minorBidi"/>
          <w:sz w:val="20"/>
          <w:szCs w:val="22"/>
        </w:rPr>
        <w:t xml:space="preserve">четный 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 xml:space="preserve">год согласно </w:t>
      </w:r>
      <w:proofErr w:type="spellStart"/>
      <w:r w:rsidR="00043DD1" w:rsidRPr="00D45608">
        <w:rPr>
          <w:rFonts w:ascii="Century Gothic" w:eastAsiaTheme="minorHAnsi" w:hAnsi="Century Gothic" w:cstheme="minorBidi"/>
          <w:sz w:val="20"/>
          <w:szCs w:val="22"/>
        </w:rPr>
        <w:t>п</w:t>
      </w:r>
      <w:r w:rsidR="00043DD1">
        <w:rPr>
          <w:rFonts w:ascii="Century Gothic" w:eastAsiaTheme="minorHAnsi" w:hAnsi="Century Gothic" w:cstheme="minorBidi"/>
          <w:sz w:val="20"/>
          <w:szCs w:val="22"/>
        </w:rPr>
        <w:t>п</w:t>
      </w:r>
      <w:proofErr w:type="spellEnd"/>
      <w:r w:rsidR="00043DD1">
        <w:rPr>
          <w:rFonts w:ascii="Century Gothic" w:eastAsiaTheme="minorHAnsi" w:hAnsi="Century Gothic" w:cstheme="minorBidi"/>
          <w:sz w:val="20"/>
          <w:szCs w:val="22"/>
        </w:rPr>
        <w:t>.</w:t>
      </w:r>
      <w:r w:rsidR="00BD02D9">
        <w:rPr>
          <w:rFonts w:ascii="Century Gothic" w:eastAsiaTheme="minorHAnsi" w:hAnsi="Century Gothic" w:cstheme="minorBidi"/>
          <w:sz w:val="20"/>
          <w:szCs w:val="22"/>
        </w:rPr>
        <w:t> 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>1 п</w:t>
      </w:r>
      <w:r w:rsidR="00043DD1">
        <w:rPr>
          <w:rFonts w:ascii="Century Gothic" w:eastAsiaTheme="minorHAnsi" w:hAnsi="Century Gothic" w:cstheme="minorBidi"/>
          <w:sz w:val="20"/>
          <w:szCs w:val="22"/>
        </w:rPr>
        <w:t>.</w:t>
      </w:r>
      <w:r w:rsidR="00BD02D9">
        <w:rPr>
          <w:rFonts w:ascii="Century Gothic" w:eastAsiaTheme="minorHAnsi" w:hAnsi="Century Gothic" w:cstheme="minorBidi"/>
          <w:sz w:val="20"/>
          <w:szCs w:val="22"/>
        </w:rPr>
        <w:t> 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>2 ст</w:t>
      </w:r>
      <w:r w:rsidR="00043DD1">
        <w:rPr>
          <w:rFonts w:ascii="Century Gothic" w:eastAsiaTheme="minorHAnsi" w:hAnsi="Century Gothic" w:cstheme="minorBidi"/>
          <w:sz w:val="20"/>
          <w:szCs w:val="22"/>
        </w:rPr>
        <w:t>.</w:t>
      </w:r>
      <w:r w:rsidR="00BD02D9">
        <w:rPr>
          <w:rFonts w:ascii="Century Gothic" w:eastAsiaTheme="minorHAnsi" w:hAnsi="Century Gothic" w:cstheme="minorBidi"/>
          <w:sz w:val="20"/>
          <w:szCs w:val="22"/>
        </w:rPr>
        <w:t> 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>20.1</w:t>
      </w:r>
      <w:r w:rsidR="00043DD1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043DD1" w:rsidRPr="000E271E">
        <w:rPr>
          <w:rFonts w:ascii="Century Gothic" w:eastAsiaTheme="minorHAnsi" w:hAnsi="Century Gothic" w:cstheme="minorBidi"/>
          <w:sz w:val="20"/>
          <w:szCs w:val="22"/>
        </w:rPr>
        <w:t>закона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BD02D9">
        <w:rPr>
          <w:rFonts w:ascii="Century Gothic" w:eastAsiaTheme="minorHAnsi" w:hAnsi="Century Gothic" w:cstheme="minorBidi"/>
          <w:sz w:val="20"/>
          <w:szCs w:val="22"/>
        </w:rPr>
        <w:t>№ 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>75-ФЗ</w:t>
      </w:r>
      <w:r w:rsidR="00597402">
        <w:rPr>
          <w:rFonts w:ascii="Century Gothic" w:eastAsiaTheme="minorHAnsi" w:hAnsi="Century Gothic" w:cstheme="minorBidi"/>
          <w:sz w:val="20"/>
          <w:szCs w:val="22"/>
        </w:rPr>
        <w:t xml:space="preserve"> и </w:t>
      </w:r>
      <w:r w:rsidR="00597402" w:rsidRPr="00597402">
        <w:rPr>
          <w:rFonts w:ascii="Century Gothic" w:eastAsiaTheme="minorHAnsi" w:hAnsi="Century Gothic" w:cstheme="minorBidi"/>
          <w:sz w:val="20"/>
          <w:szCs w:val="22"/>
        </w:rPr>
        <w:t>Указани</w:t>
      </w:r>
      <w:r w:rsidR="00E7008D">
        <w:rPr>
          <w:rFonts w:ascii="Century Gothic" w:eastAsiaTheme="minorHAnsi" w:hAnsi="Century Gothic" w:cstheme="minorBidi"/>
          <w:sz w:val="20"/>
          <w:szCs w:val="22"/>
        </w:rPr>
        <w:t>ю</w:t>
      </w:r>
      <w:r w:rsidR="00597402" w:rsidRPr="00597402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C4554E">
        <w:rPr>
          <w:rFonts w:ascii="Century Gothic" w:eastAsiaTheme="minorHAnsi" w:hAnsi="Century Gothic" w:cstheme="minorBidi"/>
          <w:sz w:val="20"/>
          <w:szCs w:val="22"/>
        </w:rPr>
        <w:t>№</w:t>
      </w:r>
      <w:r w:rsidR="00597402">
        <w:rPr>
          <w:rFonts w:ascii="Century Gothic" w:eastAsiaTheme="minorHAnsi" w:hAnsi="Century Gothic" w:cstheme="minorBidi"/>
          <w:sz w:val="20"/>
          <w:szCs w:val="22"/>
        </w:rPr>
        <w:t>5804-У</w:t>
      </w:r>
      <w:r w:rsidR="00963B55" w:rsidRPr="00D45608">
        <w:rPr>
          <w:rFonts w:ascii="Century Gothic" w:eastAsiaTheme="minorHAnsi" w:hAnsi="Century Gothic" w:cstheme="minorBidi"/>
          <w:sz w:val="20"/>
          <w:szCs w:val="22"/>
        </w:rPr>
        <w:t>;</w:t>
      </w:r>
    </w:p>
    <w:p w14:paraId="7E8A2504" w14:textId="2D02DABF" w:rsidR="007E27D5" w:rsidRPr="00D45608" w:rsidRDefault="007E27D5" w:rsidP="00976EB8">
      <w:pPr>
        <w:pStyle w:val="11"/>
        <w:numPr>
          <w:ilvl w:val="0"/>
          <w:numId w:val="0"/>
        </w:numPr>
        <w:ind w:left="426"/>
        <w:rPr>
          <w:rFonts w:ascii="Century Gothic" w:eastAsiaTheme="minorHAnsi" w:hAnsi="Century Gothic" w:cstheme="minorBidi"/>
          <w:sz w:val="20"/>
          <w:szCs w:val="22"/>
        </w:rPr>
      </w:pPr>
      <w:r w:rsidRPr="00D45608">
        <w:rPr>
          <w:rFonts w:ascii="Century Gothic" w:eastAsiaTheme="minorHAnsi" w:hAnsi="Century Gothic" w:cstheme="minorBidi"/>
          <w:sz w:val="20"/>
          <w:szCs w:val="22"/>
        </w:rPr>
        <w:t>T – количество рабочих дней</w:t>
      </w:r>
      <w:r w:rsidR="00FF717C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="00C246C4">
        <w:rPr>
          <w:rFonts w:ascii="Century Gothic" w:eastAsiaTheme="minorHAnsi" w:hAnsi="Century Gothic" w:cstheme="minorBidi"/>
          <w:sz w:val="20"/>
          <w:szCs w:val="22"/>
        </w:rPr>
        <w:t>в отчетном</w:t>
      </w:r>
      <w:r w:rsidR="007F2E77" w:rsidRPr="00D45608">
        <w:rPr>
          <w:rFonts w:ascii="Century Gothic" w:eastAsiaTheme="minorHAnsi" w:hAnsi="Century Gothic" w:cstheme="minorBidi"/>
          <w:sz w:val="20"/>
          <w:szCs w:val="22"/>
        </w:rPr>
        <w:t xml:space="preserve"> </w:t>
      </w:r>
      <w:r w:rsidRPr="00D45608">
        <w:rPr>
          <w:rFonts w:ascii="Century Gothic" w:eastAsiaTheme="minorHAnsi" w:hAnsi="Century Gothic" w:cstheme="minorBidi"/>
          <w:sz w:val="20"/>
          <w:szCs w:val="22"/>
        </w:rPr>
        <w:t>году;</w:t>
      </w:r>
    </w:p>
    <w:p w14:paraId="3B11CB52" w14:textId="6A3F8C88" w:rsidR="00B34919" w:rsidRDefault="007E27D5" w:rsidP="00B34919">
      <w:pPr>
        <w:pStyle w:val="11"/>
        <w:numPr>
          <w:ilvl w:val="0"/>
          <w:numId w:val="0"/>
        </w:numPr>
        <w:ind w:left="426"/>
        <w:rPr>
          <w:rFonts w:ascii="Century Gothic" w:eastAsiaTheme="minorHAnsi" w:hAnsi="Century Gothic" w:cstheme="minorBidi"/>
          <w:sz w:val="20"/>
          <w:szCs w:val="22"/>
        </w:rPr>
      </w:pPr>
      <w:r w:rsidRPr="00D45608">
        <w:rPr>
          <w:rFonts w:ascii="Century Gothic" w:eastAsiaTheme="minorHAnsi" w:hAnsi="Century Gothic" w:cstheme="minorBidi"/>
          <w:sz w:val="20"/>
          <w:szCs w:val="22"/>
        </w:rPr>
        <w:t>N – количество рабочих дней за расчетный период</w:t>
      </w:r>
      <w:r w:rsidR="00B34919">
        <w:rPr>
          <w:rFonts w:ascii="Century Gothic" w:eastAsiaTheme="minorHAnsi" w:hAnsi="Century Gothic" w:cstheme="minorBidi"/>
          <w:sz w:val="20"/>
          <w:szCs w:val="22"/>
        </w:rPr>
        <w:t>.</w:t>
      </w:r>
    </w:p>
    <w:p w14:paraId="53043BFD" w14:textId="77777777" w:rsidR="00762A92" w:rsidRDefault="00762A92" w:rsidP="00B34919">
      <w:pPr>
        <w:pStyle w:val="11"/>
        <w:numPr>
          <w:ilvl w:val="0"/>
          <w:numId w:val="0"/>
        </w:numPr>
        <w:ind w:left="426"/>
        <w:rPr>
          <w:rFonts w:ascii="Century Gothic" w:eastAsiaTheme="minorHAnsi" w:hAnsi="Century Gothic" w:cstheme="minorBidi"/>
          <w:sz w:val="20"/>
          <w:szCs w:val="22"/>
        </w:rPr>
      </w:pPr>
    </w:p>
    <w:p w14:paraId="6594CC5C" w14:textId="647E4D32" w:rsidR="008D2635" w:rsidRPr="003D4E85" w:rsidRDefault="007F2E77" w:rsidP="00B34919">
      <w:pPr>
        <w:pStyle w:val="11"/>
        <w:numPr>
          <w:ilvl w:val="0"/>
          <w:numId w:val="0"/>
        </w:numPr>
        <w:rPr>
          <w:rFonts w:ascii="Century Gothic" w:eastAsiaTheme="minorHAnsi" w:hAnsi="Century Gothic" w:cstheme="minorBidi"/>
          <w:b/>
          <w:sz w:val="20"/>
          <w:szCs w:val="22"/>
        </w:rPr>
      </w:pPr>
      <w:r w:rsidRPr="003D4E85">
        <w:rPr>
          <w:rFonts w:ascii="Century Gothic" w:eastAsiaTheme="minorHAnsi" w:hAnsi="Century Gothic" w:cstheme="minorBidi"/>
          <w:b/>
          <w:sz w:val="20"/>
          <w:szCs w:val="22"/>
        </w:rPr>
        <w:t xml:space="preserve">Пример формирования показателей, включенных в </w:t>
      </w:r>
      <w:proofErr w:type="gramStart"/>
      <w:r w:rsidRPr="003D4E85">
        <w:rPr>
          <w:rFonts w:ascii="Century Gothic" w:eastAsiaTheme="minorHAnsi" w:hAnsi="Century Gothic" w:cstheme="minorBidi"/>
          <w:b/>
          <w:sz w:val="20"/>
          <w:szCs w:val="22"/>
        </w:rPr>
        <w:t>расчет</w:t>
      </w:r>
      <w:r w:rsidR="00B34919">
        <w:rPr>
          <w:rFonts w:ascii="Century Gothic" w:eastAsiaTheme="minorHAnsi" w:hAnsi="Century Gothic" w:cstheme="minorBidi"/>
          <w:b/>
          <w:sz w:val="20"/>
          <w:szCs w:val="22"/>
        </w:rPr>
        <w:t xml:space="preserve"> </w:t>
      </w:r>
      <w:r w:rsidRPr="003D4E85">
        <w:rPr>
          <w:rFonts w:ascii="Century Gothic" w:eastAsiaTheme="minorHAnsi" w:hAnsi="Century Gothic" w:cstheme="minorBidi"/>
          <w:b/>
          <w:sz w:val="20"/>
          <w:szCs w:val="22"/>
        </w:rPr>
        <w:t xml:space="preserve"> </w:t>
      </w:r>
      <w:r w:rsidR="00D12757">
        <w:rPr>
          <w:rFonts w:ascii="Century Gothic" w:eastAsiaTheme="minorHAnsi" w:hAnsi="Century Gothic" w:cstheme="minorBidi"/>
          <w:b/>
          <w:sz w:val="20"/>
          <w:szCs w:val="22"/>
        </w:rPr>
        <w:t>постоянной</w:t>
      </w:r>
      <w:proofErr w:type="gramEnd"/>
      <w:r w:rsidR="00D12757">
        <w:rPr>
          <w:rFonts w:ascii="Century Gothic" w:eastAsiaTheme="minorHAnsi" w:hAnsi="Century Gothic" w:cstheme="minorBidi"/>
          <w:b/>
          <w:sz w:val="20"/>
          <w:szCs w:val="22"/>
        </w:rPr>
        <w:t xml:space="preserve"> части вознаграждения </w:t>
      </w:r>
      <w:r w:rsidR="00FF717C">
        <w:rPr>
          <w:rFonts w:ascii="Century Gothic" w:eastAsiaTheme="minorHAnsi" w:hAnsi="Century Gothic" w:cstheme="minorBidi"/>
          <w:b/>
          <w:sz w:val="20"/>
          <w:szCs w:val="22"/>
        </w:rPr>
        <w:t xml:space="preserve"> </w:t>
      </w:r>
      <w:r w:rsidR="00B44FAB">
        <w:rPr>
          <w:rFonts w:ascii="Century Gothic" w:eastAsiaTheme="minorHAnsi" w:hAnsi="Century Gothic" w:cstheme="minorBidi"/>
          <w:b/>
          <w:sz w:val="20"/>
          <w:szCs w:val="22"/>
        </w:rPr>
        <w:t xml:space="preserve">для </w:t>
      </w:r>
      <w:r w:rsidR="00762A92">
        <w:rPr>
          <w:rFonts w:ascii="Century Gothic" w:eastAsiaTheme="minorHAnsi" w:hAnsi="Century Gothic" w:cstheme="minorBidi"/>
          <w:b/>
          <w:sz w:val="20"/>
          <w:szCs w:val="22"/>
        </w:rPr>
        <w:t xml:space="preserve"> </w:t>
      </w:r>
      <w:r w:rsidR="00B44FAB">
        <w:rPr>
          <w:rFonts w:ascii="Century Gothic" w:eastAsiaTheme="minorHAnsi" w:hAnsi="Century Gothic" w:cstheme="minorBidi"/>
          <w:b/>
          <w:sz w:val="20"/>
          <w:szCs w:val="22"/>
        </w:rPr>
        <w:t xml:space="preserve">2021 года </w:t>
      </w:r>
    </w:p>
    <w:p w14:paraId="1870E241" w14:textId="77777777" w:rsidR="008D2635" w:rsidRPr="00D45608" w:rsidRDefault="008D2635" w:rsidP="00976EB8">
      <w:pPr>
        <w:pStyle w:val="11"/>
        <w:numPr>
          <w:ilvl w:val="0"/>
          <w:numId w:val="0"/>
        </w:numPr>
        <w:spacing w:before="0"/>
        <w:ind w:left="426"/>
        <w:rPr>
          <w:rFonts w:ascii="Century Gothic" w:eastAsiaTheme="minorHAnsi" w:hAnsi="Century Gothic" w:cstheme="minorBidi"/>
          <w:sz w:val="20"/>
          <w:szCs w:val="22"/>
        </w:rPr>
      </w:pPr>
    </w:p>
    <w:p w14:paraId="3DA4A29E" w14:textId="5D3134E5" w:rsidR="008D2635" w:rsidRPr="00227280" w:rsidRDefault="008D2635" w:rsidP="00976EB8">
      <w:pPr>
        <w:pStyle w:val="11"/>
        <w:numPr>
          <w:ilvl w:val="0"/>
          <w:numId w:val="0"/>
        </w:numPr>
        <w:spacing w:before="0"/>
        <w:ind w:left="426"/>
        <w:rPr>
          <w:rFonts w:ascii="Century Gothic" w:eastAsiaTheme="minorHAnsi" w:hAnsi="Century Gothic" w:cstheme="minorBidi"/>
          <w:b/>
          <w:sz w:val="20"/>
          <w:szCs w:val="22"/>
        </w:rPr>
      </w:pPr>
    </w:p>
    <w:p w14:paraId="6FFF5A6B" w14:textId="609C09CF" w:rsidR="008D2635" w:rsidRDefault="008D2635" w:rsidP="00F52FA6">
      <w:pPr>
        <w:spacing w:after="0"/>
        <w:jc w:val="both"/>
        <w:rPr>
          <w:rFonts w:ascii="Century Gothic" w:hAnsi="Century Gothic"/>
          <w:sz w:val="20"/>
        </w:rPr>
      </w:pPr>
      <w:r w:rsidRPr="00F52FA6">
        <w:rPr>
          <w:rFonts w:ascii="Century Gothic" w:hAnsi="Century Gothic"/>
          <w:sz w:val="20"/>
        </w:rPr>
        <w:t>Таблица ____. Необходимые расходы Управляющей компании</w:t>
      </w:r>
      <w:r w:rsidR="00B34919">
        <w:rPr>
          <w:rFonts w:ascii="Century Gothic" w:hAnsi="Century Gothic"/>
          <w:sz w:val="20"/>
        </w:rPr>
        <w:t xml:space="preserve"> (НРУК)</w:t>
      </w:r>
      <w:r w:rsidRPr="00F52FA6">
        <w:rPr>
          <w:rFonts w:ascii="Century Gothic" w:hAnsi="Century Gothic"/>
          <w:sz w:val="20"/>
        </w:rPr>
        <w:t>, портфель __________</w:t>
      </w:r>
    </w:p>
    <w:p w14:paraId="4A5E4C20" w14:textId="77777777" w:rsidR="00B34919" w:rsidRPr="00F52FA6" w:rsidRDefault="00B34919" w:rsidP="00F52FA6">
      <w:pPr>
        <w:spacing w:after="0"/>
        <w:jc w:val="both"/>
        <w:rPr>
          <w:rFonts w:ascii="Century Gothic" w:hAnsi="Century Gothic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7"/>
        <w:gridCol w:w="2179"/>
      </w:tblGrid>
      <w:tr w:rsidR="008D2635" w:rsidRPr="00D45608" w14:paraId="5F4B2735" w14:textId="77777777" w:rsidTr="00A81672">
        <w:trPr>
          <w:trHeight w:val="283"/>
        </w:trPr>
        <w:tc>
          <w:tcPr>
            <w:tcW w:w="7427" w:type="dxa"/>
            <w:shd w:val="clear" w:color="auto" w:fill="auto"/>
            <w:noWrap/>
            <w:vAlign w:val="center"/>
          </w:tcPr>
          <w:p w14:paraId="323C9E9A" w14:textId="77777777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 w:rsidRPr="00D45608">
              <w:rPr>
                <w:rFonts w:ascii="Century Gothic" w:eastAsiaTheme="minorHAnsi" w:hAnsi="Century Gothic" w:cstheme="minorBidi"/>
                <w:sz w:val="20"/>
                <w:szCs w:val="22"/>
              </w:rPr>
              <w:t>Наименование расходов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5A9D4ACB" w14:textId="77777777" w:rsidR="008D2635" w:rsidRPr="00D45608" w:rsidRDefault="008D2635" w:rsidP="00A81672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 w:rsidRPr="00D45608">
              <w:rPr>
                <w:rFonts w:ascii="Century Gothic" w:eastAsiaTheme="minorHAnsi" w:hAnsi="Century Gothic" w:cstheme="minorBidi"/>
                <w:sz w:val="20"/>
                <w:szCs w:val="22"/>
              </w:rPr>
              <w:t>Сумма расходов, руб.</w:t>
            </w:r>
          </w:p>
        </w:tc>
      </w:tr>
      <w:tr w:rsidR="008D2635" w:rsidRPr="00D45608" w14:paraId="01B6A085" w14:textId="77777777" w:rsidTr="00EF1821">
        <w:trPr>
          <w:trHeight w:val="283"/>
        </w:trPr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612C17CF" w14:textId="0BC346D6" w:rsidR="008D2635" w:rsidRPr="00D45608" w:rsidRDefault="008D2635" w:rsidP="00EF1821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 w:rsidRPr="00D45608">
              <w:rPr>
                <w:rFonts w:ascii="Century Gothic" w:eastAsiaTheme="minorHAnsi" w:hAnsi="Century Gothic" w:cstheme="minorBidi"/>
                <w:sz w:val="20"/>
                <w:szCs w:val="22"/>
              </w:rPr>
              <w:t xml:space="preserve">Услуги </w:t>
            </w:r>
            <w:r w:rsidR="00F52571" w:rsidRPr="00F52571">
              <w:rPr>
                <w:rFonts w:ascii="Century Gothic" w:eastAsiaTheme="minorHAnsi" w:hAnsi="Century Gothic" w:cstheme="minorBidi"/>
                <w:sz w:val="20"/>
                <w:szCs w:val="22"/>
              </w:rPr>
              <w:t>по договору о брокерском обслуживании, в том числе комиссии организаторов торговли на рынке ценных бумаг (бирж)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739A4E31" w14:textId="5D81341E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</w:p>
        </w:tc>
      </w:tr>
      <w:tr w:rsidR="008D2635" w:rsidRPr="00D45608" w14:paraId="2A208604" w14:textId="77777777" w:rsidTr="00EF1821">
        <w:trPr>
          <w:trHeight w:val="283"/>
        </w:trPr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5638C563" w14:textId="77777777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 w:rsidRPr="00D45608">
              <w:rPr>
                <w:rFonts w:ascii="Century Gothic" w:eastAsiaTheme="minorHAnsi" w:hAnsi="Century Gothic" w:cstheme="minorBidi"/>
                <w:sz w:val="20"/>
                <w:szCs w:val="22"/>
              </w:rPr>
              <w:t>Комиссия банков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5AF95436" w14:textId="40B93B77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</w:p>
        </w:tc>
      </w:tr>
      <w:tr w:rsidR="008D2635" w:rsidRPr="00D45608" w14:paraId="1966DCB3" w14:textId="77777777" w:rsidTr="00EF1821">
        <w:trPr>
          <w:trHeight w:val="283"/>
        </w:trPr>
        <w:tc>
          <w:tcPr>
            <w:tcW w:w="7427" w:type="dxa"/>
            <w:shd w:val="clear" w:color="auto" w:fill="auto"/>
            <w:noWrap/>
            <w:vAlign w:val="center"/>
          </w:tcPr>
          <w:p w14:paraId="2E1032D7" w14:textId="1D2B1288" w:rsidR="008D2635" w:rsidRPr="00D45608" w:rsidRDefault="00C246C4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>
              <w:rPr>
                <w:rFonts w:ascii="Century Gothic" w:eastAsiaTheme="minorHAnsi" w:hAnsi="Century Gothic" w:cstheme="minorBidi"/>
                <w:sz w:val="20"/>
                <w:szCs w:val="22"/>
              </w:rPr>
              <w:t>Услуги аудитора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3E7B4084" w14:textId="1872BE21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</w:p>
        </w:tc>
      </w:tr>
      <w:tr w:rsidR="008D2635" w:rsidRPr="00D45608" w14:paraId="73A1EEC6" w14:textId="77777777" w:rsidTr="00A81672">
        <w:trPr>
          <w:trHeight w:val="283"/>
        </w:trPr>
        <w:tc>
          <w:tcPr>
            <w:tcW w:w="7427" w:type="dxa"/>
            <w:shd w:val="clear" w:color="auto" w:fill="auto"/>
            <w:noWrap/>
            <w:vAlign w:val="center"/>
          </w:tcPr>
          <w:p w14:paraId="1A2D8337" w14:textId="3C70A2BA" w:rsidR="008D2635" w:rsidRPr="00D45608" w:rsidRDefault="00F52571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>
              <w:rPr>
                <w:rFonts w:ascii="Century Gothic" w:eastAsiaTheme="minorHAnsi" w:hAnsi="Century Gothic" w:cstheme="minorBidi"/>
                <w:sz w:val="20"/>
                <w:szCs w:val="22"/>
              </w:rPr>
              <w:t xml:space="preserve"> Услуги оценщика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5F0F93B2" w14:textId="481F8A91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</w:p>
        </w:tc>
      </w:tr>
      <w:tr w:rsidR="008D2635" w:rsidRPr="00D45608" w14:paraId="1F4ADA71" w14:textId="77777777" w:rsidTr="00A81672">
        <w:trPr>
          <w:trHeight w:val="283"/>
        </w:trPr>
        <w:tc>
          <w:tcPr>
            <w:tcW w:w="7427" w:type="dxa"/>
            <w:shd w:val="clear" w:color="auto" w:fill="auto"/>
            <w:noWrap/>
            <w:vAlign w:val="center"/>
          </w:tcPr>
          <w:p w14:paraId="26521D57" w14:textId="7D13C413" w:rsidR="008D2635" w:rsidRPr="00D45608" w:rsidRDefault="00F52571" w:rsidP="00F52571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>
              <w:t xml:space="preserve"> С</w:t>
            </w:r>
            <w:r w:rsidRPr="00F52571">
              <w:rPr>
                <w:rFonts w:ascii="Century Gothic" w:eastAsiaTheme="minorHAnsi" w:hAnsi="Century Gothic" w:cstheme="minorBidi"/>
                <w:sz w:val="20"/>
                <w:szCs w:val="22"/>
              </w:rPr>
              <w:t>удебные расходы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373C4C60" w14:textId="7A560037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</w:p>
        </w:tc>
      </w:tr>
      <w:tr w:rsidR="00CA7680" w:rsidRPr="00D45608" w14:paraId="798BD102" w14:textId="77777777" w:rsidTr="00A81672">
        <w:trPr>
          <w:trHeight w:val="283"/>
        </w:trPr>
        <w:tc>
          <w:tcPr>
            <w:tcW w:w="7427" w:type="dxa"/>
            <w:shd w:val="clear" w:color="auto" w:fill="auto"/>
            <w:noWrap/>
            <w:vAlign w:val="center"/>
          </w:tcPr>
          <w:p w14:paraId="588AEEC7" w14:textId="77322C13" w:rsidR="00CA7680" w:rsidRPr="00D45608" w:rsidRDefault="00CA7680" w:rsidP="00EF1821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>
              <w:rPr>
                <w:rFonts w:ascii="Century Gothic" w:eastAsiaTheme="minorHAnsi" w:hAnsi="Century Gothic" w:cstheme="minorBidi"/>
                <w:sz w:val="20"/>
                <w:szCs w:val="22"/>
              </w:rPr>
              <w:t>Прочие необходимые расходы в соответствии с условиями договора доверительного управления</w:t>
            </w: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64F72D25" w14:textId="77777777" w:rsidR="00CA7680" w:rsidRPr="00D45608" w:rsidRDefault="00CA7680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</w:p>
        </w:tc>
      </w:tr>
      <w:tr w:rsidR="008D2635" w:rsidRPr="00D45608" w14:paraId="042725C0" w14:textId="77777777" w:rsidTr="00A81672">
        <w:trPr>
          <w:trHeight w:val="283"/>
        </w:trPr>
        <w:tc>
          <w:tcPr>
            <w:tcW w:w="7427" w:type="dxa"/>
            <w:shd w:val="clear" w:color="auto" w:fill="auto"/>
            <w:noWrap/>
            <w:vAlign w:val="center"/>
            <w:hideMark/>
          </w:tcPr>
          <w:p w14:paraId="7C743695" w14:textId="77777777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  <w:r w:rsidRPr="00D45608">
              <w:rPr>
                <w:rFonts w:ascii="Century Gothic" w:eastAsiaTheme="minorHAnsi" w:hAnsi="Century Gothic" w:cstheme="minorBidi"/>
                <w:sz w:val="20"/>
                <w:szCs w:val="22"/>
              </w:rPr>
              <w:t>Итого расходы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5EFD46" w14:textId="769FB98C" w:rsidR="008D2635" w:rsidRPr="00D45608" w:rsidRDefault="008D2635" w:rsidP="00D45608">
            <w:pPr>
              <w:pStyle w:val="11"/>
              <w:numPr>
                <w:ilvl w:val="0"/>
                <w:numId w:val="0"/>
              </w:numPr>
              <w:spacing w:before="0"/>
              <w:ind w:left="426"/>
              <w:jc w:val="left"/>
              <w:rPr>
                <w:rFonts w:ascii="Century Gothic" w:eastAsiaTheme="minorHAnsi" w:hAnsi="Century Gothic" w:cstheme="minorBidi"/>
                <w:sz w:val="20"/>
                <w:szCs w:val="22"/>
              </w:rPr>
            </w:pPr>
          </w:p>
        </w:tc>
      </w:tr>
    </w:tbl>
    <w:p w14:paraId="6CDFD684" w14:textId="77777777" w:rsidR="008D2635" w:rsidRPr="00D45608" w:rsidRDefault="008D2635" w:rsidP="00D45608">
      <w:pPr>
        <w:pStyle w:val="11"/>
        <w:numPr>
          <w:ilvl w:val="0"/>
          <w:numId w:val="0"/>
        </w:numPr>
        <w:spacing w:before="0"/>
        <w:ind w:left="426"/>
        <w:jc w:val="left"/>
        <w:rPr>
          <w:rFonts w:ascii="Century Gothic" w:eastAsiaTheme="minorHAnsi" w:hAnsi="Century Gothic" w:cstheme="minorBidi"/>
          <w:sz w:val="20"/>
          <w:szCs w:val="22"/>
        </w:rPr>
      </w:pPr>
    </w:p>
    <w:p w14:paraId="624556AB" w14:textId="77777777" w:rsidR="007F2E77" w:rsidRPr="00D45608" w:rsidRDefault="007F2E77" w:rsidP="00976EB8">
      <w:pPr>
        <w:pStyle w:val="11"/>
        <w:numPr>
          <w:ilvl w:val="0"/>
          <w:numId w:val="0"/>
        </w:numPr>
        <w:spacing w:before="0"/>
        <w:ind w:left="426"/>
        <w:rPr>
          <w:rFonts w:ascii="Century Gothic" w:eastAsiaTheme="minorHAnsi" w:hAnsi="Century Gothic" w:cstheme="minorBidi"/>
          <w:sz w:val="20"/>
          <w:szCs w:val="22"/>
        </w:rPr>
      </w:pPr>
    </w:p>
    <w:p w14:paraId="77CE949F" w14:textId="635746DA" w:rsidR="00D45608" w:rsidRPr="000E271E" w:rsidRDefault="00F33F0E" w:rsidP="007076C8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Century Gothic" w:hAnsi="Century Gothic"/>
          <w:sz w:val="20"/>
        </w:rPr>
      </w:pPr>
      <w:r w:rsidRPr="000E271E">
        <w:rPr>
          <w:rFonts w:ascii="Century Gothic" w:hAnsi="Century Gothic"/>
          <w:sz w:val="20"/>
        </w:rPr>
        <w:t>При определении предельной величины постоянно</w:t>
      </w:r>
      <w:r w:rsidR="00F52571" w:rsidRPr="000E271E">
        <w:rPr>
          <w:rFonts w:ascii="Century Gothic" w:hAnsi="Century Gothic"/>
          <w:sz w:val="20"/>
        </w:rPr>
        <w:t xml:space="preserve">й </w:t>
      </w:r>
      <w:r w:rsidR="000E271E" w:rsidRPr="000E271E">
        <w:rPr>
          <w:rFonts w:ascii="Century Gothic" w:hAnsi="Century Gothic"/>
          <w:sz w:val="20"/>
        </w:rPr>
        <w:t>части вознаграждения</w:t>
      </w:r>
      <w:r w:rsidR="00F52FA6" w:rsidRPr="000E271E">
        <w:rPr>
          <w:rFonts w:ascii="Century Gothic" w:hAnsi="Century Gothic"/>
          <w:sz w:val="20"/>
        </w:rPr>
        <w:t xml:space="preserve"> фонда</w:t>
      </w:r>
      <w:r w:rsidRPr="000E271E">
        <w:rPr>
          <w:rFonts w:ascii="Century Gothic" w:hAnsi="Century Gothic"/>
          <w:sz w:val="20"/>
        </w:rPr>
        <w:t xml:space="preserve"> </w:t>
      </w:r>
      <w:r w:rsidR="00076170" w:rsidRPr="000E271E">
        <w:rPr>
          <w:rFonts w:ascii="Century Gothic" w:hAnsi="Century Gothic"/>
          <w:sz w:val="20"/>
        </w:rPr>
        <w:t xml:space="preserve">в состав </w:t>
      </w:r>
      <w:r w:rsidRPr="000E271E">
        <w:rPr>
          <w:rFonts w:ascii="Century Gothic" w:hAnsi="Century Gothic"/>
          <w:sz w:val="20"/>
        </w:rPr>
        <w:t>необходимых расходов управляющих компаний, непосредственно связанных с инвестированием средств пенсионных накоплений и оплачиваемых из средств пенсионных накоплений</w:t>
      </w:r>
      <w:r w:rsidR="00076170" w:rsidRPr="000E271E">
        <w:rPr>
          <w:rFonts w:ascii="Century Gothic" w:hAnsi="Century Gothic"/>
          <w:sz w:val="20"/>
        </w:rPr>
        <w:t>,</w:t>
      </w:r>
      <w:r w:rsidR="00567BF8" w:rsidRPr="000E271E">
        <w:rPr>
          <w:rFonts w:ascii="Century Gothic" w:hAnsi="Century Gothic"/>
          <w:sz w:val="20"/>
        </w:rPr>
        <w:t xml:space="preserve"> </w:t>
      </w:r>
      <w:r w:rsidR="00076170" w:rsidRPr="000E271E">
        <w:rPr>
          <w:rFonts w:ascii="Century Gothic" w:hAnsi="Century Gothic"/>
          <w:sz w:val="20"/>
        </w:rPr>
        <w:t>включаются все расходы, предусмотренные договором доверительного управления</w:t>
      </w:r>
      <w:r w:rsidR="007F2E77" w:rsidRPr="000E271E">
        <w:rPr>
          <w:rFonts w:ascii="Century Gothic" w:hAnsi="Century Gothic"/>
          <w:sz w:val="20"/>
        </w:rPr>
        <w:t>.</w:t>
      </w:r>
      <w:r w:rsidR="00D105BA" w:rsidRPr="000E271E">
        <w:rPr>
          <w:rFonts w:ascii="Century Gothic" w:hAnsi="Century Gothic"/>
          <w:sz w:val="20"/>
        </w:rPr>
        <w:t xml:space="preserve"> Расходы специализированного депозитария не являются необходимыми расходами, связанными с инвестированием </w:t>
      </w:r>
      <w:r w:rsidR="002C2006" w:rsidRPr="000E271E">
        <w:rPr>
          <w:rFonts w:ascii="Century Gothic" w:hAnsi="Century Gothic"/>
          <w:sz w:val="20"/>
        </w:rPr>
        <w:t>средств пенсионных накоплений,</w:t>
      </w:r>
      <w:r w:rsidR="00D105BA" w:rsidRPr="000E271E">
        <w:rPr>
          <w:rFonts w:ascii="Century Gothic" w:hAnsi="Century Gothic"/>
          <w:sz w:val="20"/>
        </w:rPr>
        <w:t xml:space="preserve"> и не могут быть оплачены за счет средств пенсионных накоплений</w:t>
      </w:r>
      <w:r w:rsidR="002C2006" w:rsidRPr="000E271E">
        <w:rPr>
          <w:rFonts w:ascii="Century Gothic" w:hAnsi="Century Gothic"/>
          <w:sz w:val="20"/>
        </w:rPr>
        <w:t>, начиная с 18.03.201</w:t>
      </w:r>
      <w:r w:rsidR="00D97F78" w:rsidRPr="000E271E">
        <w:rPr>
          <w:rFonts w:ascii="Century Gothic" w:hAnsi="Century Gothic"/>
          <w:sz w:val="20"/>
        </w:rPr>
        <w:t xml:space="preserve">8 </w:t>
      </w:r>
      <w:r w:rsidR="002C2006" w:rsidRPr="000E271E">
        <w:rPr>
          <w:rFonts w:ascii="Century Gothic" w:hAnsi="Century Gothic"/>
          <w:sz w:val="20"/>
        </w:rPr>
        <w:t>года</w:t>
      </w:r>
      <w:r w:rsidR="00D105BA" w:rsidRPr="000E271E">
        <w:rPr>
          <w:rFonts w:ascii="Century Gothic" w:hAnsi="Century Gothic"/>
          <w:sz w:val="20"/>
        </w:rPr>
        <w:t>.</w:t>
      </w:r>
    </w:p>
    <w:p w14:paraId="4B289ABC" w14:textId="715D2AF0" w:rsidR="002C2006" w:rsidRPr="00D45608" w:rsidRDefault="00076170" w:rsidP="00D45608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Century Gothic" w:hAnsi="Century Gothic"/>
          <w:sz w:val="20"/>
        </w:rPr>
      </w:pPr>
      <w:r w:rsidRPr="00D45608">
        <w:rPr>
          <w:rFonts w:ascii="Century Gothic" w:hAnsi="Century Gothic"/>
          <w:sz w:val="20"/>
        </w:rPr>
        <w:t>Постоянн</w:t>
      </w:r>
      <w:r w:rsidR="00F52571">
        <w:rPr>
          <w:rFonts w:ascii="Century Gothic" w:hAnsi="Century Gothic"/>
          <w:sz w:val="20"/>
        </w:rPr>
        <w:t>ая часть</w:t>
      </w:r>
      <w:r w:rsidRPr="00D45608">
        <w:rPr>
          <w:rFonts w:ascii="Century Gothic" w:hAnsi="Century Gothic"/>
          <w:sz w:val="20"/>
        </w:rPr>
        <w:t xml:space="preserve"> вознаграждени</w:t>
      </w:r>
      <w:r w:rsidR="00F52571">
        <w:rPr>
          <w:rFonts w:ascii="Century Gothic" w:hAnsi="Century Gothic"/>
          <w:sz w:val="20"/>
        </w:rPr>
        <w:t>я</w:t>
      </w:r>
      <w:r w:rsidR="00F52FA6">
        <w:rPr>
          <w:rFonts w:ascii="Century Gothic" w:hAnsi="Century Gothic"/>
          <w:sz w:val="20"/>
        </w:rPr>
        <w:t xml:space="preserve"> фонда</w:t>
      </w:r>
      <w:r w:rsidRPr="00D45608">
        <w:rPr>
          <w:rFonts w:ascii="Century Gothic" w:hAnsi="Century Gothic"/>
          <w:sz w:val="20"/>
        </w:rPr>
        <w:t xml:space="preserve"> рассчитывается для</w:t>
      </w:r>
      <w:r w:rsidR="00963B55" w:rsidRPr="00D45608">
        <w:rPr>
          <w:rFonts w:ascii="Century Gothic" w:hAnsi="Century Gothic"/>
          <w:sz w:val="20"/>
        </w:rPr>
        <w:t>:</w:t>
      </w:r>
    </w:p>
    <w:p w14:paraId="6FC50B9D" w14:textId="77777777" w:rsidR="00D97F78" w:rsidRPr="00D45608" w:rsidRDefault="00B4589E" w:rsidP="002C2006">
      <w:pPr>
        <w:pStyle w:val="a3"/>
        <w:numPr>
          <w:ilvl w:val="0"/>
          <w:numId w:val="7"/>
        </w:numPr>
        <w:tabs>
          <w:tab w:val="left" w:pos="851"/>
        </w:tabs>
        <w:spacing w:after="0"/>
        <w:ind w:hanging="176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п</w:t>
      </w:r>
      <w:r w:rsidRPr="00D45608">
        <w:rPr>
          <w:rFonts w:ascii="Century Gothic" w:hAnsi="Century Gothic"/>
          <w:sz w:val="20"/>
        </w:rPr>
        <w:t xml:space="preserve">ортфеля </w:t>
      </w:r>
      <w:r w:rsidR="00D97F78" w:rsidRPr="00D45608">
        <w:rPr>
          <w:rFonts w:ascii="Century Gothic" w:hAnsi="Century Gothic"/>
          <w:sz w:val="20"/>
        </w:rPr>
        <w:t>п</w:t>
      </w:r>
      <w:r w:rsidR="002C2006" w:rsidRPr="00D45608">
        <w:rPr>
          <w:rFonts w:ascii="Century Gothic" w:hAnsi="Century Gothic"/>
          <w:sz w:val="20"/>
        </w:rPr>
        <w:t>енсионных накоплений, не включенных в резервы</w:t>
      </w:r>
      <w:r w:rsidR="00963B55" w:rsidRPr="00D45608">
        <w:rPr>
          <w:rFonts w:ascii="Century Gothic" w:hAnsi="Century Gothic"/>
          <w:sz w:val="20"/>
        </w:rPr>
        <w:t>;</w:t>
      </w:r>
    </w:p>
    <w:p w14:paraId="755B86C2" w14:textId="77777777" w:rsidR="00D97F78" w:rsidRPr="00D45608" w:rsidRDefault="00076170" w:rsidP="002C2006">
      <w:pPr>
        <w:pStyle w:val="a3"/>
        <w:numPr>
          <w:ilvl w:val="0"/>
          <w:numId w:val="7"/>
        </w:numPr>
        <w:tabs>
          <w:tab w:val="left" w:pos="851"/>
        </w:tabs>
        <w:spacing w:after="0"/>
        <w:ind w:hanging="1764"/>
        <w:jc w:val="both"/>
        <w:rPr>
          <w:rFonts w:ascii="Century Gothic" w:hAnsi="Century Gothic"/>
          <w:sz w:val="20"/>
        </w:rPr>
      </w:pPr>
      <w:r w:rsidRPr="00D45608">
        <w:rPr>
          <w:rFonts w:ascii="Century Gothic" w:hAnsi="Century Gothic"/>
          <w:sz w:val="20"/>
        </w:rPr>
        <w:t>портфел</w:t>
      </w:r>
      <w:r w:rsidR="00D97F78" w:rsidRPr="00D45608">
        <w:rPr>
          <w:rFonts w:ascii="Century Gothic" w:hAnsi="Century Gothic"/>
          <w:sz w:val="20"/>
        </w:rPr>
        <w:t>я</w:t>
      </w:r>
      <w:r w:rsidRPr="00D45608">
        <w:rPr>
          <w:rFonts w:ascii="Century Gothic" w:hAnsi="Century Gothic"/>
          <w:sz w:val="20"/>
        </w:rPr>
        <w:t xml:space="preserve"> выплатного резерва</w:t>
      </w:r>
      <w:r w:rsidR="00963B55" w:rsidRPr="00D45608">
        <w:rPr>
          <w:rFonts w:ascii="Century Gothic" w:hAnsi="Century Gothic"/>
          <w:sz w:val="20"/>
        </w:rPr>
        <w:t>;</w:t>
      </w:r>
    </w:p>
    <w:p w14:paraId="534DC313" w14:textId="77777777" w:rsidR="00B4589E" w:rsidRDefault="00D97F78" w:rsidP="002C2006">
      <w:pPr>
        <w:pStyle w:val="a3"/>
        <w:numPr>
          <w:ilvl w:val="0"/>
          <w:numId w:val="7"/>
        </w:numPr>
        <w:tabs>
          <w:tab w:val="left" w:pos="851"/>
        </w:tabs>
        <w:spacing w:after="0"/>
        <w:ind w:hanging="1764"/>
        <w:jc w:val="both"/>
        <w:rPr>
          <w:rFonts w:ascii="Century Gothic" w:hAnsi="Century Gothic"/>
          <w:sz w:val="20"/>
        </w:rPr>
      </w:pPr>
      <w:r w:rsidRPr="00D45608">
        <w:rPr>
          <w:rFonts w:ascii="Century Gothic" w:hAnsi="Century Gothic"/>
          <w:sz w:val="20"/>
        </w:rPr>
        <w:t>портфеля</w:t>
      </w:r>
      <w:r w:rsidR="00076170" w:rsidRPr="00D45608">
        <w:rPr>
          <w:rFonts w:ascii="Century Gothic" w:hAnsi="Century Gothic"/>
          <w:sz w:val="20"/>
        </w:rPr>
        <w:t xml:space="preserve"> резерва срочных пенсионных выплат</w:t>
      </w:r>
      <w:r w:rsidR="00B4589E">
        <w:rPr>
          <w:rFonts w:ascii="Century Gothic" w:hAnsi="Century Gothic"/>
          <w:sz w:val="20"/>
        </w:rPr>
        <w:t>;</w:t>
      </w:r>
    </w:p>
    <w:p w14:paraId="6941A0D1" w14:textId="77777777" w:rsidR="00076170" w:rsidRPr="00D45608" w:rsidRDefault="00B4589E" w:rsidP="002C2006">
      <w:pPr>
        <w:pStyle w:val="a3"/>
        <w:numPr>
          <w:ilvl w:val="0"/>
          <w:numId w:val="7"/>
        </w:numPr>
        <w:tabs>
          <w:tab w:val="left" w:pos="851"/>
        </w:tabs>
        <w:spacing w:after="0"/>
        <w:ind w:hanging="176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портфеля средств РОПС</w:t>
      </w:r>
      <w:r w:rsidR="00076170" w:rsidRPr="00D45608">
        <w:rPr>
          <w:rFonts w:ascii="Century Gothic" w:hAnsi="Century Gothic"/>
          <w:sz w:val="20"/>
        </w:rPr>
        <w:t>.</w:t>
      </w:r>
    </w:p>
    <w:p w14:paraId="04745F62" w14:textId="7A148C7E" w:rsidR="00217965" w:rsidRPr="00D45608" w:rsidRDefault="00B4589E">
      <w:pPr>
        <w:tabs>
          <w:tab w:val="left" w:pos="851"/>
        </w:tabs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Из портфеля средств</w:t>
      </w:r>
      <w:r w:rsidR="00D97F78" w:rsidRPr="00D45608">
        <w:rPr>
          <w:rFonts w:ascii="Century Gothic" w:hAnsi="Century Gothic"/>
          <w:sz w:val="20"/>
        </w:rPr>
        <w:t xml:space="preserve"> РОПС </w:t>
      </w:r>
      <w:r w:rsidR="00A0259D">
        <w:rPr>
          <w:rFonts w:ascii="Century Gothic" w:hAnsi="Century Gothic"/>
          <w:sz w:val="20"/>
        </w:rPr>
        <w:t>п</w:t>
      </w:r>
      <w:r w:rsidRPr="00D45608">
        <w:rPr>
          <w:rFonts w:ascii="Century Gothic" w:hAnsi="Century Gothic"/>
          <w:sz w:val="20"/>
        </w:rPr>
        <w:t>остоянн</w:t>
      </w:r>
      <w:r w:rsidR="00F52571">
        <w:rPr>
          <w:rFonts w:ascii="Century Gothic" w:hAnsi="Century Gothic"/>
          <w:sz w:val="20"/>
        </w:rPr>
        <w:t>ая часть</w:t>
      </w:r>
      <w:r w:rsidRPr="00D45608">
        <w:rPr>
          <w:rFonts w:ascii="Century Gothic" w:hAnsi="Century Gothic"/>
          <w:sz w:val="20"/>
        </w:rPr>
        <w:t xml:space="preserve"> вознаграждени</w:t>
      </w:r>
      <w:r w:rsidR="00F52571">
        <w:rPr>
          <w:rFonts w:ascii="Century Gothic" w:hAnsi="Century Gothic"/>
          <w:sz w:val="20"/>
        </w:rPr>
        <w:t>я</w:t>
      </w:r>
      <w:r w:rsidRPr="00D45608">
        <w:rPr>
          <w:rFonts w:ascii="Century Gothic" w:hAnsi="Century Gothic"/>
          <w:sz w:val="20"/>
        </w:rPr>
        <w:t xml:space="preserve"> </w:t>
      </w:r>
      <w:r w:rsidR="00D97F78" w:rsidRPr="00D45608">
        <w:rPr>
          <w:rFonts w:ascii="Century Gothic" w:hAnsi="Century Gothic"/>
          <w:sz w:val="20"/>
        </w:rPr>
        <w:t xml:space="preserve">не </w:t>
      </w:r>
      <w:r>
        <w:rPr>
          <w:rFonts w:ascii="Century Gothic" w:hAnsi="Century Gothic"/>
          <w:sz w:val="20"/>
        </w:rPr>
        <w:t>удерживается</w:t>
      </w:r>
      <w:r w:rsidRPr="00D45608">
        <w:rPr>
          <w:rFonts w:ascii="Century Gothic" w:hAnsi="Century Gothic"/>
          <w:sz w:val="20"/>
        </w:rPr>
        <w:t xml:space="preserve"> </w:t>
      </w:r>
      <w:r w:rsidR="00D97F78" w:rsidRPr="00D45608">
        <w:rPr>
          <w:rFonts w:ascii="Century Gothic" w:hAnsi="Century Gothic"/>
          <w:sz w:val="20"/>
        </w:rPr>
        <w:t>в силу ограничений ст.</w:t>
      </w:r>
      <w:r w:rsidR="00F52FA6">
        <w:rPr>
          <w:rFonts w:ascii="Century Gothic" w:hAnsi="Century Gothic"/>
          <w:sz w:val="20"/>
        </w:rPr>
        <w:t> </w:t>
      </w:r>
      <w:r w:rsidR="00D97F78" w:rsidRPr="00D45608">
        <w:rPr>
          <w:rFonts w:ascii="Century Gothic" w:hAnsi="Century Gothic"/>
          <w:sz w:val="20"/>
        </w:rPr>
        <w:t xml:space="preserve">20.1 </w:t>
      </w:r>
      <w:r w:rsidR="00582FE3">
        <w:rPr>
          <w:rFonts w:ascii="Century Gothic" w:hAnsi="Century Gothic"/>
          <w:sz w:val="20"/>
        </w:rPr>
        <w:t>З</w:t>
      </w:r>
      <w:r w:rsidR="00F52FA6">
        <w:rPr>
          <w:rFonts w:ascii="Century Gothic" w:hAnsi="Century Gothic"/>
          <w:sz w:val="20"/>
        </w:rPr>
        <w:t>акона</w:t>
      </w:r>
      <w:r w:rsidR="00F52FA6" w:rsidRPr="00D45608">
        <w:rPr>
          <w:rFonts w:ascii="Century Gothic" w:hAnsi="Century Gothic"/>
          <w:sz w:val="20"/>
        </w:rPr>
        <w:t xml:space="preserve"> №</w:t>
      </w:r>
      <w:r w:rsidR="00F52FA6">
        <w:rPr>
          <w:rFonts w:ascii="Century Gothic" w:hAnsi="Century Gothic"/>
          <w:sz w:val="20"/>
        </w:rPr>
        <w:t> </w:t>
      </w:r>
      <w:r w:rsidR="00D97F78" w:rsidRPr="00D45608">
        <w:rPr>
          <w:rFonts w:ascii="Century Gothic" w:hAnsi="Century Gothic"/>
          <w:sz w:val="20"/>
        </w:rPr>
        <w:t>75-ФЗ</w:t>
      </w:r>
      <w:r w:rsidR="009843F7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Постоянн</w:t>
      </w:r>
      <w:r w:rsidR="00F52571">
        <w:rPr>
          <w:rFonts w:ascii="Century Gothic" w:hAnsi="Century Gothic"/>
          <w:sz w:val="20"/>
        </w:rPr>
        <w:t>ая часть</w:t>
      </w:r>
      <w:r>
        <w:rPr>
          <w:rFonts w:ascii="Century Gothic" w:hAnsi="Century Gothic"/>
          <w:sz w:val="20"/>
        </w:rPr>
        <w:t xml:space="preserve"> вознаграждени</w:t>
      </w:r>
      <w:r w:rsidR="00F52571">
        <w:rPr>
          <w:rFonts w:ascii="Century Gothic" w:hAnsi="Century Gothic"/>
          <w:sz w:val="20"/>
        </w:rPr>
        <w:t>я,</w:t>
      </w:r>
      <w:r>
        <w:rPr>
          <w:rFonts w:ascii="Century Gothic" w:hAnsi="Century Gothic"/>
          <w:sz w:val="20"/>
        </w:rPr>
        <w:t xml:space="preserve"> рассчитанн</w:t>
      </w:r>
      <w:r w:rsidR="00F52571">
        <w:rPr>
          <w:rFonts w:ascii="Century Gothic" w:hAnsi="Century Gothic"/>
          <w:sz w:val="20"/>
        </w:rPr>
        <w:t>ая</w:t>
      </w:r>
      <w:r>
        <w:rPr>
          <w:rFonts w:ascii="Century Gothic" w:hAnsi="Century Gothic"/>
          <w:sz w:val="20"/>
        </w:rPr>
        <w:t xml:space="preserve"> по портфелю средств РОПС</w:t>
      </w:r>
      <w:r w:rsidR="00F52571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удерживается из других портфелей</w:t>
      </w:r>
      <w:r w:rsidR="00AB27CE" w:rsidRPr="006318D5">
        <w:rPr>
          <w:rFonts w:ascii="Century Gothic" w:hAnsi="Century Gothic"/>
          <w:sz w:val="20"/>
        </w:rPr>
        <w:t xml:space="preserve"> с учетом требований законодательства</w:t>
      </w:r>
      <w:r w:rsidR="00A0259D">
        <w:rPr>
          <w:rFonts w:ascii="Century Gothic" w:hAnsi="Century Gothic"/>
          <w:sz w:val="20"/>
        </w:rPr>
        <w:t xml:space="preserve"> и</w:t>
      </w:r>
      <w:r>
        <w:rPr>
          <w:rFonts w:ascii="Century Gothic" w:hAnsi="Century Gothic"/>
          <w:sz w:val="20"/>
        </w:rPr>
        <w:t xml:space="preserve"> по усмотрению Фонда.</w:t>
      </w:r>
    </w:p>
    <w:p w14:paraId="7F7BDAC2" w14:textId="3F375E1B" w:rsidR="00081FE5" w:rsidRDefault="00081FE5" w:rsidP="000E271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Century Gothic" w:hAnsi="Century Gothic"/>
          <w:sz w:val="20"/>
        </w:rPr>
      </w:pPr>
      <w:r w:rsidRPr="00D45608">
        <w:rPr>
          <w:rFonts w:ascii="Century Gothic" w:hAnsi="Century Gothic"/>
          <w:sz w:val="20"/>
        </w:rPr>
        <w:t>При определении размера постоянной части вознаграждения</w:t>
      </w:r>
      <w:r w:rsidR="00BD02D9">
        <w:rPr>
          <w:rFonts w:ascii="Century Gothic" w:hAnsi="Century Gothic"/>
          <w:sz w:val="20"/>
        </w:rPr>
        <w:t xml:space="preserve"> фонда</w:t>
      </w:r>
      <w:r w:rsidRPr="00D45608">
        <w:rPr>
          <w:rFonts w:ascii="Century Gothic" w:hAnsi="Century Gothic"/>
          <w:sz w:val="20"/>
        </w:rPr>
        <w:t xml:space="preserve"> по итогам отчетного года следует учитывать ежегодные отчисления в резерв по обязательному пенсионному страхованию в размере, определенном в соответствии с п.</w:t>
      </w:r>
      <w:r w:rsidR="00BD02D9">
        <w:rPr>
          <w:rFonts w:ascii="Century Gothic" w:hAnsi="Century Gothic"/>
          <w:sz w:val="20"/>
        </w:rPr>
        <w:t> </w:t>
      </w:r>
      <w:r w:rsidRPr="00D45608">
        <w:rPr>
          <w:rFonts w:ascii="Century Gothic" w:hAnsi="Century Gothic"/>
          <w:sz w:val="20"/>
        </w:rPr>
        <w:t>4 ст</w:t>
      </w:r>
      <w:r w:rsidR="00BD02D9" w:rsidRPr="00D45608">
        <w:rPr>
          <w:rFonts w:ascii="Century Gothic" w:hAnsi="Century Gothic"/>
          <w:sz w:val="20"/>
        </w:rPr>
        <w:t>.</w:t>
      </w:r>
      <w:r w:rsidR="00BD02D9">
        <w:rPr>
          <w:rFonts w:ascii="Century Gothic" w:hAnsi="Century Gothic"/>
          <w:sz w:val="20"/>
        </w:rPr>
        <w:t> </w:t>
      </w:r>
      <w:r w:rsidRPr="00D45608">
        <w:rPr>
          <w:rFonts w:ascii="Century Gothic" w:hAnsi="Century Gothic"/>
          <w:sz w:val="20"/>
        </w:rPr>
        <w:t>20.1</w:t>
      </w:r>
      <w:r w:rsidR="00BD02D9">
        <w:rPr>
          <w:rFonts w:ascii="Century Gothic" w:hAnsi="Century Gothic"/>
          <w:sz w:val="20"/>
        </w:rPr>
        <w:t xml:space="preserve"> </w:t>
      </w:r>
      <w:r w:rsidR="00BD02D9">
        <w:rPr>
          <w:rFonts w:ascii="Century Gothic" w:hAnsi="Century Gothic"/>
          <w:sz w:val="20"/>
        </w:rPr>
        <w:lastRenderedPageBreak/>
        <w:t>закона № </w:t>
      </w:r>
      <w:r w:rsidRPr="00D45608">
        <w:rPr>
          <w:rFonts w:ascii="Century Gothic" w:hAnsi="Century Gothic"/>
          <w:sz w:val="20"/>
        </w:rPr>
        <w:t xml:space="preserve">75-ФЗ и Указанием </w:t>
      </w:r>
      <w:r w:rsidR="00C4554E">
        <w:rPr>
          <w:rFonts w:ascii="Century Gothic" w:hAnsi="Century Gothic"/>
          <w:sz w:val="20"/>
        </w:rPr>
        <w:t>№</w:t>
      </w:r>
      <w:r w:rsidR="00063EC6" w:rsidRPr="00063EC6">
        <w:rPr>
          <w:rFonts w:ascii="Century Gothic" w:hAnsi="Century Gothic"/>
          <w:sz w:val="20"/>
        </w:rPr>
        <w:t>5804-У</w:t>
      </w:r>
      <w:r w:rsidR="00C4554E">
        <w:rPr>
          <w:rFonts w:ascii="Century Gothic" w:hAnsi="Century Gothic"/>
          <w:sz w:val="20"/>
        </w:rPr>
        <w:t>.</w:t>
      </w:r>
      <w:r w:rsidRPr="00D45608">
        <w:rPr>
          <w:rFonts w:ascii="Century Gothic" w:hAnsi="Century Gothic"/>
          <w:sz w:val="20"/>
        </w:rPr>
        <w:t xml:space="preserve"> </w:t>
      </w:r>
      <w:r w:rsidR="00C102C2" w:rsidRPr="00D45608">
        <w:rPr>
          <w:rFonts w:ascii="Century Gothic" w:hAnsi="Century Gothic"/>
          <w:sz w:val="20"/>
        </w:rPr>
        <w:t>Д</w:t>
      </w:r>
      <w:r w:rsidRPr="00D45608">
        <w:rPr>
          <w:rFonts w:ascii="Century Gothic" w:hAnsi="Century Gothic"/>
          <w:sz w:val="20"/>
        </w:rPr>
        <w:t xml:space="preserve">оход от инвестирования резерва по обязательному пенсионному страхованию не </w:t>
      </w:r>
      <w:r w:rsidR="00C102C2" w:rsidRPr="00D45608">
        <w:rPr>
          <w:rFonts w:ascii="Century Gothic" w:hAnsi="Century Gothic"/>
          <w:sz w:val="20"/>
        </w:rPr>
        <w:t>уменьшает расчетную величину ежегодного отчисления в РОПС для целей расчета</w:t>
      </w:r>
      <w:r w:rsidRPr="00D45608">
        <w:rPr>
          <w:rFonts w:ascii="Century Gothic" w:hAnsi="Century Gothic"/>
          <w:sz w:val="20"/>
        </w:rPr>
        <w:t xml:space="preserve"> </w:t>
      </w:r>
      <w:r w:rsidR="00C102C2" w:rsidRPr="00D45608">
        <w:rPr>
          <w:rFonts w:ascii="Century Gothic" w:hAnsi="Century Gothic"/>
          <w:sz w:val="20"/>
        </w:rPr>
        <w:t>постоянной части вознаграждения.</w:t>
      </w:r>
      <w:r w:rsidR="006E5F41">
        <w:rPr>
          <w:rFonts w:ascii="Century Gothic" w:hAnsi="Century Gothic"/>
          <w:sz w:val="20"/>
        </w:rPr>
        <w:t xml:space="preserve"> </w:t>
      </w:r>
      <w:r w:rsidR="009843F7">
        <w:rPr>
          <w:rFonts w:ascii="Century Gothic" w:hAnsi="Century Gothic"/>
          <w:sz w:val="20"/>
        </w:rPr>
        <w:t>Размер е</w:t>
      </w:r>
      <w:r w:rsidR="009843F7" w:rsidRPr="00D45608">
        <w:rPr>
          <w:rFonts w:ascii="Century Gothic" w:hAnsi="Century Gothic"/>
          <w:sz w:val="20"/>
        </w:rPr>
        <w:t>жегодн</w:t>
      </w:r>
      <w:r w:rsidR="009843F7">
        <w:rPr>
          <w:rFonts w:ascii="Century Gothic" w:hAnsi="Century Gothic"/>
          <w:sz w:val="20"/>
        </w:rPr>
        <w:t>ых</w:t>
      </w:r>
      <w:r w:rsidR="009843F7" w:rsidRPr="00D45608">
        <w:rPr>
          <w:rFonts w:ascii="Century Gothic" w:hAnsi="Century Gothic"/>
          <w:sz w:val="20"/>
        </w:rPr>
        <w:t xml:space="preserve"> отчислени</w:t>
      </w:r>
      <w:r w:rsidR="009843F7">
        <w:rPr>
          <w:rFonts w:ascii="Century Gothic" w:hAnsi="Century Gothic"/>
          <w:sz w:val="20"/>
        </w:rPr>
        <w:t>й</w:t>
      </w:r>
      <w:r w:rsidR="009843F7" w:rsidRPr="00D45608">
        <w:rPr>
          <w:rFonts w:ascii="Century Gothic" w:hAnsi="Century Gothic"/>
          <w:sz w:val="20"/>
        </w:rPr>
        <w:t xml:space="preserve"> в РОПС </w:t>
      </w:r>
      <w:r w:rsidR="009843F7">
        <w:rPr>
          <w:rFonts w:ascii="Century Gothic" w:hAnsi="Century Gothic"/>
          <w:sz w:val="20"/>
        </w:rPr>
        <w:t>определяется</w:t>
      </w:r>
      <w:r w:rsidR="006E5F41">
        <w:rPr>
          <w:rFonts w:ascii="Century Gothic" w:hAnsi="Century Gothic"/>
          <w:sz w:val="20"/>
        </w:rPr>
        <w:t xml:space="preserve"> в соответствии с требованиями</w:t>
      </w:r>
      <w:r w:rsidR="00C4554E">
        <w:rPr>
          <w:rFonts w:ascii="Century Gothic" w:hAnsi="Century Gothic"/>
          <w:sz w:val="20"/>
        </w:rPr>
        <w:t>,</w:t>
      </w:r>
      <w:r w:rsidR="006E5F41">
        <w:rPr>
          <w:rFonts w:ascii="Century Gothic" w:hAnsi="Century Gothic"/>
          <w:sz w:val="20"/>
        </w:rPr>
        <w:t xml:space="preserve"> указанными в п. 3 и 4 ст. 20.1 закона № 75-ФЗ</w:t>
      </w:r>
      <w:r w:rsidR="00C4554E">
        <w:rPr>
          <w:rFonts w:ascii="Century Gothic" w:hAnsi="Century Gothic"/>
          <w:sz w:val="20"/>
        </w:rPr>
        <w:t>,</w:t>
      </w:r>
      <w:r w:rsidR="00597402">
        <w:rPr>
          <w:rFonts w:ascii="Century Gothic" w:hAnsi="Century Gothic"/>
          <w:sz w:val="20"/>
        </w:rPr>
        <w:t xml:space="preserve"> и </w:t>
      </w:r>
      <w:r w:rsidR="00CA7680">
        <w:rPr>
          <w:rFonts w:ascii="Century Gothic" w:hAnsi="Century Gothic"/>
          <w:sz w:val="20"/>
        </w:rPr>
        <w:t xml:space="preserve">Указанием </w:t>
      </w:r>
      <w:r w:rsidR="00C4554E">
        <w:rPr>
          <w:rFonts w:ascii="Century Gothic" w:hAnsi="Century Gothic"/>
          <w:sz w:val="20"/>
        </w:rPr>
        <w:t>№</w:t>
      </w:r>
      <w:r w:rsidR="00CA7680">
        <w:rPr>
          <w:rFonts w:ascii="Century Gothic" w:hAnsi="Century Gothic"/>
          <w:sz w:val="20"/>
        </w:rPr>
        <w:t>5804-У.</w:t>
      </w:r>
    </w:p>
    <w:p w14:paraId="058BA81D" w14:textId="62F90350" w:rsidR="00AE3173" w:rsidRPr="00AE3173" w:rsidRDefault="000E271E" w:rsidP="00AE3173">
      <w:pPr>
        <w:tabs>
          <w:tab w:val="left" w:pos="851"/>
        </w:tabs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1.5. </w:t>
      </w:r>
      <w:r w:rsidR="00AE3173" w:rsidRPr="00AE3173">
        <w:rPr>
          <w:rFonts w:ascii="Century Gothic" w:hAnsi="Century Gothic"/>
          <w:sz w:val="20"/>
        </w:rPr>
        <w:t xml:space="preserve">В соответствии с </w:t>
      </w:r>
      <w:r w:rsidR="00B34919" w:rsidRPr="00F446B8">
        <w:rPr>
          <w:rFonts w:ascii="Century Gothic" w:hAnsi="Century Gothic"/>
          <w:sz w:val="20"/>
        </w:rPr>
        <w:t>Указание</w:t>
      </w:r>
      <w:r w:rsidR="00B34919">
        <w:rPr>
          <w:rFonts w:ascii="Century Gothic" w:hAnsi="Century Gothic"/>
          <w:sz w:val="20"/>
        </w:rPr>
        <w:t xml:space="preserve">м </w:t>
      </w:r>
      <w:r w:rsidR="00B34919" w:rsidRPr="00F446B8">
        <w:rPr>
          <w:rFonts w:ascii="Century Gothic" w:hAnsi="Century Gothic"/>
          <w:sz w:val="20"/>
        </w:rPr>
        <w:t>№</w:t>
      </w:r>
      <w:r w:rsidR="00AE3173" w:rsidRPr="00F446B8">
        <w:rPr>
          <w:rFonts w:ascii="Century Gothic" w:hAnsi="Century Gothic"/>
          <w:sz w:val="20"/>
        </w:rPr>
        <w:t>5804-У</w:t>
      </w:r>
      <w:r w:rsidR="00AE3173" w:rsidRPr="00AE3173">
        <w:rPr>
          <w:rFonts w:ascii="Century Gothic" w:hAnsi="Century Gothic"/>
          <w:sz w:val="20"/>
        </w:rPr>
        <w:t xml:space="preserve"> устанавливаются:</w:t>
      </w:r>
    </w:p>
    <w:p w14:paraId="59BD1A9A" w14:textId="1D5A4205" w:rsidR="00AE3173" w:rsidRPr="00AE3173" w:rsidRDefault="00AE3173" w:rsidP="00EF1821">
      <w:pPr>
        <w:pStyle w:val="a3"/>
        <w:numPr>
          <w:ilvl w:val="0"/>
          <w:numId w:val="7"/>
        </w:numPr>
        <w:tabs>
          <w:tab w:val="left" w:pos="851"/>
        </w:tabs>
        <w:spacing w:after="0"/>
        <w:ind w:hanging="1764"/>
        <w:jc w:val="both"/>
        <w:rPr>
          <w:rFonts w:ascii="Century Gothic" w:hAnsi="Century Gothic"/>
          <w:sz w:val="20"/>
        </w:rPr>
      </w:pPr>
      <w:r w:rsidRPr="00AE3173">
        <w:rPr>
          <w:rFonts w:ascii="Century Gothic" w:hAnsi="Century Gothic"/>
          <w:sz w:val="20"/>
        </w:rPr>
        <w:t>дополнительные требования к порядку формирования РОПС;</w:t>
      </w:r>
    </w:p>
    <w:p w14:paraId="46B27D62" w14:textId="13E4243D" w:rsidR="00AE3173" w:rsidRPr="00AE3173" w:rsidRDefault="00AE3173" w:rsidP="00EF1821">
      <w:pPr>
        <w:pStyle w:val="a3"/>
        <w:numPr>
          <w:ilvl w:val="0"/>
          <w:numId w:val="7"/>
        </w:numPr>
        <w:tabs>
          <w:tab w:val="left" w:pos="851"/>
        </w:tabs>
        <w:spacing w:after="0"/>
        <w:ind w:hanging="1764"/>
        <w:jc w:val="both"/>
        <w:rPr>
          <w:rFonts w:ascii="Century Gothic" w:hAnsi="Century Gothic"/>
          <w:sz w:val="20"/>
        </w:rPr>
      </w:pPr>
      <w:r w:rsidRPr="00AE3173">
        <w:rPr>
          <w:rFonts w:ascii="Century Gothic" w:hAnsi="Century Gothic"/>
          <w:sz w:val="20"/>
        </w:rPr>
        <w:t>ставк</w:t>
      </w:r>
      <w:r w:rsidR="00EA2D92">
        <w:rPr>
          <w:rFonts w:ascii="Century Gothic" w:hAnsi="Century Gothic"/>
          <w:sz w:val="20"/>
        </w:rPr>
        <w:t>а</w:t>
      </w:r>
      <w:r w:rsidRPr="00AE3173">
        <w:rPr>
          <w:rFonts w:ascii="Century Gothic" w:hAnsi="Century Gothic"/>
          <w:sz w:val="20"/>
        </w:rPr>
        <w:t xml:space="preserve"> ежегодных отчислений в </w:t>
      </w:r>
      <w:r>
        <w:rPr>
          <w:rFonts w:ascii="Century Gothic" w:hAnsi="Century Gothic"/>
          <w:sz w:val="20"/>
        </w:rPr>
        <w:t>РОПС</w:t>
      </w:r>
      <w:r w:rsidRPr="00AE3173">
        <w:rPr>
          <w:rFonts w:ascii="Century Gothic" w:hAnsi="Century Gothic"/>
          <w:sz w:val="20"/>
        </w:rPr>
        <w:t>.</w:t>
      </w:r>
    </w:p>
    <w:p w14:paraId="4880E09C" w14:textId="4E015773" w:rsidR="00AE3173" w:rsidRPr="00AE3173" w:rsidRDefault="000E271E" w:rsidP="00AE3173">
      <w:pPr>
        <w:tabs>
          <w:tab w:val="left" w:pos="851"/>
        </w:tabs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1.6. </w:t>
      </w:r>
      <w:r w:rsidR="00AE3173" w:rsidRPr="00AE3173">
        <w:rPr>
          <w:rFonts w:ascii="Century Gothic" w:hAnsi="Century Gothic"/>
          <w:sz w:val="20"/>
        </w:rPr>
        <w:t xml:space="preserve">Указание </w:t>
      </w:r>
      <w:r>
        <w:rPr>
          <w:rFonts w:ascii="Century Gothic" w:hAnsi="Century Gothic"/>
          <w:sz w:val="20"/>
        </w:rPr>
        <w:t>№</w:t>
      </w:r>
      <w:r w:rsidR="00AE3173" w:rsidRPr="00AE3173">
        <w:rPr>
          <w:rFonts w:ascii="Century Gothic" w:hAnsi="Century Gothic"/>
          <w:sz w:val="20"/>
        </w:rPr>
        <w:t xml:space="preserve"> 5804-У содержит ряд условий, выполнение которых влияет на выбор процентной ставки ежегодных отчислений в РОПС, в том числе условие наличия/отсутствия актуарного дефицита по ОПС по итогам обязательного актуарного оценивания за отчетный год. Данное условие неоднозначно в силу того, что актуарное оценивание проводится значительно позже, чем осуществляется ежегодный взнос в РОПС.</w:t>
      </w:r>
    </w:p>
    <w:p w14:paraId="715C0FE0" w14:textId="5C44F6FA" w:rsidR="00AE3173" w:rsidRPr="00AE3173" w:rsidRDefault="00EA2D92" w:rsidP="000E271E">
      <w:pPr>
        <w:tabs>
          <w:tab w:val="left" w:pos="851"/>
        </w:tabs>
        <w:spacing w:after="0"/>
        <w:jc w:val="both"/>
        <w:rPr>
          <w:rFonts w:ascii="Century Gothic" w:hAnsi="Century Gothic"/>
          <w:sz w:val="20"/>
        </w:rPr>
      </w:pPr>
      <w:r w:rsidRPr="000E271E">
        <w:rPr>
          <w:rFonts w:ascii="Century Gothic" w:hAnsi="Century Gothic"/>
          <w:sz w:val="20"/>
        </w:rPr>
        <w:t>Согласно разъяснени</w:t>
      </w:r>
      <w:r w:rsidR="000E271E" w:rsidRPr="000E271E">
        <w:rPr>
          <w:rFonts w:ascii="Century Gothic" w:hAnsi="Century Gothic"/>
          <w:sz w:val="20"/>
        </w:rPr>
        <w:t>ям</w:t>
      </w:r>
      <w:r w:rsidRPr="000E271E">
        <w:rPr>
          <w:rFonts w:ascii="Century Gothic" w:hAnsi="Century Gothic"/>
          <w:sz w:val="20"/>
        </w:rPr>
        <w:t xml:space="preserve"> </w:t>
      </w:r>
      <w:r w:rsidR="00AE3173" w:rsidRPr="000E271E">
        <w:rPr>
          <w:rFonts w:ascii="Century Gothic" w:hAnsi="Century Gothic"/>
          <w:sz w:val="20"/>
        </w:rPr>
        <w:t>Банк</w:t>
      </w:r>
      <w:r w:rsidRPr="000E271E">
        <w:rPr>
          <w:rFonts w:ascii="Century Gothic" w:hAnsi="Century Gothic"/>
          <w:sz w:val="20"/>
        </w:rPr>
        <w:t>а</w:t>
      </w:r>
      <w:r w:rsidR="00AE3173" w:rsidRPr="000E271E">
        <w:rPr>
          <w:rFonts w:ascii="Century Gothic" w:hAnsi="Century Gothic"/>
          <w:sz w:val="20"/>
        </w:rPr>
        <w:t xml:space="preserve"> </w:t>
      </w:r>
      <w:r w:rsidR="00515B8F" w:rsidRPr="000E271E">
        <w:rPr>
          <w:rFonts w:ascii="Century Gothic" w:hAnsi="Century Gothic"/>
          <w:sz w:val="20"/>
        </w:rPr>
        <w:t xml:space="preserve">России </w:t>
      </w:r>
      <w:r w:rsidRPr="000E271E">
        <w:rPr>
          <w:rFonts w:ascii="Century Gothic" w:hAnsi="Century Gothic"/>
          <w:sz w:val="20"/>
        </w:rPr>
        <w:t>(</w:t>
      </w:r>
      <w:r w:rsidR="00AE3173" w:rsidRPr="000E271E">
        <w:rPr>
          <w:rFonts w:ascii="Century Gothic" w:hAnsi="Century Gothic"/>
          <w:sz w:val="20"/>
        </w:rPr>
        <w:t xml:space="preserve">по </w:t>
      </w:r>
      <w:r w:rsidR="00B34919" w:rsidRPr="000E271E">
        <w:rPr>
          <w:rFonts w:ascii="Century Gothic" w:hAnsi="Century Gothic"/>
          <w:sz w:val="20"/>
        </w:rPr>
        <w:t>Указанию №</w:t>
      </w:r>
      <w:r w:rsidRPr="000E271E">
        <w:rPr>
          <w:rFonts w:ascii="Century Gothic" w:hAnsi="Century Gothic"/>
          <w:sz w:val="20"/>
        </w:rPr>
        <w:t xml:space="preserve">5804-У) </w:t>
      </w:r>
      <w:r w:rsidR="00AE3173" w:rsidRPr="000E271E">
        <w:rPr>
          <w:rFonts w:ascii="Century Gothic" w:hAnsi="Century Gothic"/>
          <w:sz w:val="20"/>
        </w:rPr>
        <w:t xml:space="preserve">фонд самостоятельно в пределах указанного </w:t>
      </w:r>
      <w:r w:rsidR="00FF717C" w:rsidRPr="000E271E">
        <w:rPr>
          <w:rFonts w:ascii="Century Gothic" w:hAnsi="Century Gothic"/>
          <w:sz w:val="20"/>
        </w:rPr>
        <w:t>в документе</w:t>
      </w:r>
      <w:r w:rsidR="00AE3173" w:rsidRPr="000E271E">
        <w:rPr>
          <w:rFonts w:ascii="Century Gothic" w:hAnsi="Century Gothic"/>
          <w:sz w:val="20"/>
        </w:rPr>
        <w:t xml:space="preserve"> срока определяет подход в части установления условий, наличие/отсутствие которых в соответствии с пунктом</w:t>
      </w:r>
      <w:r w:rsidR="00AE3173" w:rsidRPr="00AE3173">
        <w:rPr>
          <w:rFonts w:ascii="Century Gothic" w:hAnsi="Century Gothic"/>
          <w:sz w:val="20"/>
        </w:rPr>
        <w:t xml:space="preserve"> 2 </w:t>
      </w:r>
      <w:r w:rsidR="00B34919" w:rsidRPr="00AE3173">
        <w:rPr>
          <w:rFonts w:ascii="Century Gothic" w:hAnsi="Century Gothic"/>
          <w:sz w:val="20"/>
        </w:rPr>
        <w:t>Указания №</w:t>
      </w:r>
      <w:r w:rsidR="00AE3173" w:rsidRPr="00AE3173">
        <w:rPr>
          <w:rFonts w:ascii="Century Gothic" w:hAnsi="Century Gothic"/>
          <w:sz w:val="20"/>
        </w:rPr>
        <w:t>5804-У влияет на размер ставки ежегодных отчислений в РОПС.</w:t>
      </w:r>
    </w:p>
    <w:p w14:paraId="4D845277" w14:textId="10395D6E" w:rsidR="00C102C2" w:rsidRPr="00D45608" w:rsidRDefault="000E271E" w:rsidP="003D4E8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1.7. </w:t>
      </w:r>
      <w:r w:rsidR="00081FE5" w:rsidRPr="00D45608">
        <w:rPr>
          <w:rFonts w:ascii="Century Gothic" w:hAnsi="Century Gothic"/>
          <w:sz w:val="20"/>
        </w:rPr>
        <w:t>При определении размера постоянной части вознаграждения</w:t>
      </w:r>
      <w:r w:rsidR="00BD02D9">
        <w:rPr>
          <w:rFonts w:ascii="Century Gothic" w:hAnsi="Century Gothic"/>
          <w:sz w:val="20"/>
        </w:rPr>
        <w:t xml:space="preserve"> фонда</w:t>
      </w:r>
      <w:r w:rsidR="00081FE5" w:rsidRPr="00D45608">
        <w:rPr>
          <w:rFonts w:ascii="Century Gothic" w:hAnsi="Century Gothic"/>
          <w:sz w:val="20"/>
        </w:rPr>
        <w:t xml:space="preserve"> по итогам отчетного года </w:t>
      </w:r>
      <w:r w:rsidR="00C102C2" w:rsidRPr="00D45608">
        <w:rPr>
          <w:rFonts w:ascii="Century Gothic" w:hAnsi="Century Gothic"/>
          <w:sz w:val="20"/>
        </w:rPr>
        <w:t xml:space="preserve">необходимо </w:t>
      </w:r>
      <w:r w:rsidR="00081FE5" w:rsidRPr="00D45608">
        <w:rPr>
          <w:rFonts w:ascii="Century Gothic" w:hAnsi="Century Gothic"/>
          <w:sz w:val="20"/>
        </w:rPr>
        <w:t>учитывать размер гарантийных взносов в Агентство по страхованию вкладов</w:t>
      </w:r>
      <w:r w:rsidR="00C102C2" w:rsidRPr="00D45608">
        <w:rPr>
          <w:rFonts w:ascii="Century Gothic" w:hAnsi="Century Gothic"/>
          <w:sz w:val="20"/>
        </w:rPr>
        <w:t>, определенных в соответствии с</w:t>
      </w:r>
      <w:r w:rsidR="006B71DC">
        <w:rPr>
          <w:rFonts w:ascii="Century Gothic" w:hAnsi="Century Gothic"/>
          <w:sz w:val="20"/>
        </w:rPr>
        <w:t xml:space="preserve"> </w:t>
      </w:r>
      <w:r w:rsidR="00D12757">
        <w:rPr>
          <w:rFonts w:ascii="Century Gothic" w:hAnsi="Century Gothic"/>
          <w:sz w:val="20"/>
        </w:rPr>
        <w:t xml:space="preserve">пунктами </w:t>
      </w:r>
      <w:r w:rsidR="00D12757" w:rsidRPr="00D45608">
        <w:rPr>
          <w:rFonts w:ascii="Century Gothic" w:hAnsi="Century Gothic" w:cs="Century Gothic"/>
          <w:sz w:val="20"/>
          <w:szCs w:val="20"/>
        </w:rPr>
        <w:t>1</w:t>
      </w:r>
      <w:r w:rsidR="006B71DC">
        <w:rPr>
          <w:rFonts w:ascii="Century Gothic" w:hAnsi="Century Gothic" w:cs="Century Gothic"/>
          <w:sz w:val="20"/>
          <w:szCs w:val="20"/>
        </w:rPr>
        <w:t xml:space="preserve">, 1.2, 1.3, 2.1, </w:t>
      </w:r>
      <w:hyperlink w:history="1">
        <w:r w:rsidR="00C102C2" w:rsidRPr="00D45608">
          <w:rPr>
            <w:rFonts w:ascii="Century Gothic" w:hAnsi="Century Gothic" w:cs="Century Gothic"/>
            <w:sz w:val="20"/>
            <w:szCs w:val="20"/>
          </w:rPr>
          <w:t>3</w:t>
        </w:r>
      </w:hyperlink>
      <w:r w:rsidR="00D12757">
        <w:rPr>
          <w:rFonts w:ascii="Century Gothic" w:hAnsi="Century Gothic" w:cs="Century Gothic"/>
          <w:sz w:val="20"/>
          <w:szCs w:val="20"/>
        </w:rPr>
        <w:t>-</w:t>
      </w:r>
      <w:hyperlink w:history="1">
        <w:r w:rsidR="00C102C2" w:rsidRPr="00D45608">
          <w:rPr>
            <w:rFonts w:ascii="Century Gothic" w:hAnsi="Century Gothic" w:cs="Century Gothic"/>
            <w:sz w:val="20"/>
            <w:szCs w:val="20"/>
          </w:rPr>
          <w:t>7</w:t>
        </w:r>
      </w:hyperlink>
      <w:r w:rsidR="00C102C2" w:rsidRPr="00D45608">
        <w:rPr>
          <w:rFonts w:ascii="Century Gothic" w:hAnsi="Century Gothic" w:cs="Century Gothic"/>
          <w:sz w:val="20"/>
          <w:szCs w:val="20"/>
        </w:rPr>
        <w:t xml:space="preserve">, </w:t>
      </w:r>
      <w:hyperlink w:history="1">
        <w:r w:rsidR="00C102C2" w:rsidRPr="00D45608">
          <w:rPr>
            <w:rFonts w:ascii="Century Gothic" w:hAnsi="Century Gothic" w:cs="Century Gothic"/>
            <w:sz w:val="20"/>
            <w:szCs w:val="20"/>
          </w:rPr>
          <w:t>9 ст. 15</w:t>
        </w:r>
      </w:hyperlink>
      <w:r w:rsidR="00C102C2" w:rsidRPr="00D45608">
        <w:rPr>
          <w:rFonts w:ascii="Century Gothic" w:hAnsi="Century Gothic" w:cs="Century Gothic"/>
          <w:sz w:val="20"/>
          <w:szCs w:val="20"/>
        </w:rPr>
        <w:t xml:space="preserve"> закона </w:t>
      </w:r>
      <w:r w:rsidR="00BD02D9">
        <w:rPr>
          <w:rFonts w:ascii="Century Gothic" w:hAnsi="Century Gothic" w:cs="Century Gothic"/>
          <w:sz w:val="20"/>
          <w:szCs w:val="20"/>
        </w:rPr>
        <w:t>№ </w:t>
      </w:r>
      <w:r w:rsidR="00C102C2" w:rsidRPr="00D45608">
        <w:rPr>
          <w:rFonts w:ascii="Century Gothic" w:hAnsi="Century Gothic" w:cs="Century Gothic"/>
          <w:sz w:val="20"/>
          <w:szCs w:val="20"/>
        </w:rPr>
        <w:t>422-ФЗ</w:t>
      </w:r>
      <w:r w:rsidR="00BD02D9" w:rsidRPr="00D45608">
        <w:rPr>
          <w:rFonts w:ascii="Century Gothic" w:hAnsi="Century Gothic" w:cs="Century Gothic"/>
          <w:sz w:val="20"/>
          <w:szCs w:val="20"/>
        </w:rPr>
        <w:t>.</w:t>
      </w:r>
    </w:p>
    <w:p w14:paraId="685C8129" w14:textId="77777777" w:rsidR="00C102C2" w:rsidRDefault="00C102C2" w:rsidP="00C102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0"/>
          <w:szCs w:val="20"/>
        </w:rPr>
      </w:pPr>
    </w:p>
    <w:p w14:paraId="3FD3EB3E" w14:textId="77777777" w:rsidR="00081FE5" w:rsidRPr="00C102C2" w:rsidRDefault="00D45608" w:rsidP="00CA3E07">
      <w:pPr>
        <w:spacing w:after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2. </w:t>
      </w:r>
      <w:r w:rsidR="00081FE5" w:rsidRPr="00C102C2">
        <w:rPr>
          <w:rFonts w:ascii="Century Gothic" w:hAnsi="Century Gothic"/>
          <w:b/>
          <w:sz w:val="20"/>
        </w:rPr>
        <w:t xml:space="preserve">Определение </w:t>
      </w:r>
      <w:r w:rsidR="00CA3E07" w:rsidRPr="00C102C2">
        <w:rPr>
          <w:rFonts w:ascii="Century Gothic" w:hAnsi="Century Gothic"/>
          <w:b/>
          <w:sz w:val="20"/>
        </w:rPr>
        <w:t>размера переменной части вознаграждения</w:t>
      </w:r>
      <w:r w:rsidR="00BD02D9">
        <w:rPr>
          <w:rFonts w:ascii="Century Gothic" w:hAnsi="Century Gothic"/>
          <w:b/>
          <w:sz w:val="20"/>
        </w:rPr>
        <w:t xml:space="preserve"> фонда</w:t>
      </w:r>
      <w:r w:rsidR="009843F7">
        <w:rPr>
          <w:rFonts w:ascii="Century Gothic" w:hAnsi="Century Gothic"/>
          <w:b/>
          <w:sz w:val="20"/>
        </w:rPr>
        <w:t>.</w:t>
      </w:r>
    </w:p>
    <w:p w14:paraId="3FF49233" w14:textId="77777777" w:rsidR="00CA3E07" w:rsidRDefault="003E326F" w:rsidP="00CA3E07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B34919">
        <w:rPr>
          <w:rFonts w:ascii="Century Gothic" w:hAnsi="Century Gothic"/>
          <w:sz w:val="18"/>
          <w:szCs w:val="18"/>
        </w:rPr>
        <w:t>(п.</w:t>
      </w:r>
      <w:r w:rsidR="00BD02D9" w:rsidRPr="00B34919">
        <w:rPr>
          <w:rFonts w:ascii="Century Gothic" w:hAnsi="Century Gothic"/>
          <w:sz w:val="18"/>
          <w:szCs w:val="18"/>
        </w:rPr>
        <w:t> </w:t>
      </w:r>
      <w:r w:rsidRPr="00B34919">
        <w:rPr>
          <w:rFonts w:ascii="Century Gothic" w:hAnsi="Century Gothic"/>
          <w:sz w:val="18"/>
          <w:szCs w:val="18"/>
        </w:rPr>
        <w:t>3</w:t>
      </w:r>
      <w:r w:rsidR="00CA3E07" w:rsidRPr="00B34919">
        <w:rPr>
          <w:rFonts w:ascii="Century Gothic" w:hAnsi="Century Gothic"/>
          <w:sz w:val="18"/>
          <w:szCs w:val="18"/>
        </w:rPr>
        <w:t xml:space="preserve"> ст</w:t>
      </w:r>
      <w:r w:rsidR="00BD02D9" w:rsidRPr="00B34919">
        <w:rPr>
          <w:rFonts w:ascii="Century Gothic" w:hAnsi="Century Gothic"/>
          <w:sz w:val="18"/>
          <w:szCs w:val="18"/>
        </w:rPr>
        <w:t>. </w:t>
      </w:r>
      <w:r w:rsidR="00CA3E07" w:rsidRPr="00B34919">
        <w:rPr>
          <w:rFonts w:ascii="Century Gothic" w:hAnsi="Century Gothic"/>
          <w:sz w:val="18"/>
          <w:szCs w:val="18"/>
        </w:rPr>
        <w:t>36.23 закона №</w:t>
      </w:r>
      <w:r w:rsidR="00BD02D9" w:rsidRPr="00B34919">
        <w:rPr>
          <w:rFonts w:ascii="Century Gothic" w:hAnsi="Century Gothic"/>
          <w:sz w:val="18"/>
          <w:szCs w:val="18"/>
        </w:rPr>
        <w:t> </w:t>
      </w:r>
      <w:r w:rsidR="00CA3E07" w:rsidRPr="00B34919">
        <w:rPr>
          <w:rFonts w:ascii="Century Gothic" w:hAnsi="Century Gothic"/>
          <w:sz w:val="18"/>
          <w:szCs w:val="18"/>
        </w:rPr>
        <w:t>75-ФЗ)</w:t>
      </w:r>
    </w:p>
    <w:p w14:paraId="1E9B3D6C" w14:textId="77777777" w:rsidR="00B34919" w:rsidRPr="00B34919" w:rsidRDefault="00B34919" w:rsidP="00CA3E07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24997EDA" w14:textId="77777777" w:rsidR="003E326F" w:rsidRDefault="00D45608" w:rsidP="00D45608">
      <w:pPr>
        <w:pStyle w:val="a3"/>
        <w:spacing w:after="0"/>
        <w:ind w:left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2.1. </w:t>
      </w:r>
      <w:r w:rsidR="00010B73" w:rsidRPr="00C102C2">
        <w:rPr>
          <w:rFonts w:ascii="Century Gothic" w:hAnsi="Century Gothic"/>
          <w:sz w:val="20"/>
        </w:rPr>
        <w:t>Доход от инвестирования средств пенсионных накопл</w:t>
      </w:r>
      <w:r w:rsidR="00010B73" w:rsidRPr="00010B73">
        <w:rPr>
          <w:rFonts w:ascii="Century Gothic" w:hAnsi="Century Gothic"/>
          <w:sz w:val="20"/>
        </w:rPr>
        <w:t>е</w:t>
      </w:r>
      <w:r w:rsidR="00010B73" w:rsidRPr="00C102C2">
        <w:rPr>
          <w:rFonts w:ascii="Century Gothic" w:hAnsi="Century Gothic"/>
          <w:sz w:val="20"/>
        </w:rPr>
        <w:t>н</w:t>
      </w:r>
      <w:r w:rsidR="00010B73" w:rsidRPr="00010B73">
        <w:rPr>
          <w:rFonts w:ascii="Century Gothic" w:hAnsi="Century Gothic"/>
          <w:sz w:val="20"/>
        </w:rPr>
        <w:t>ий, рассчитанный в соответствии с требованиями Указания Банка России</w:t>
      </w:r>
      <w:r w:rsidR="00010B73">
        <w:rPr>
          <w:rFonts w:ascii="Century Gothic" w:hAnsi="Century Gothic"/>
          <w:sz w:val="20"/>
        </w:rPr>
        <w:t xml:space="preserve"> №</w:t>
      </w:r>
      <w:r w:rsidR="00BD02D9">
        <w:rPr>
          <w:rFonts w:ascii="Century Gothic" w:hAnsi="Century Gothic"/>
          <w:sz w:val="20"/>
        </w:rPr>
        <w:t> </w:t>
      </w:r>
      <w:r w:rsidR="00010B73">
        <w:rPr>
          <w:rFonts w:ascii="Century Gothic" w:hAnsi="Century Gothic"/>
          <w:sz w:val="20"/>
        </w:rPr>
        <w:t>4881-У от 23.08.</w:t>
      </w:r>
      <w:r w:rsidR="00BD02D9">
        <w:rPr>
          <w:rFonts w:ascii="Century Gothic" w:hAnsi="Century Gothic"/>
          <w:sz w:val="20"/>
        </w:rPr>
        <w:t>2018 </w:t>
      </w:r>
      <w:r w:rsidR="00010B73">
        <w:rPr>
          <w:rFonts w:ascii="Century Gothic" w:hAnsi="Century Gothic"/>
          <w:sz w:val="20"/>
        </w:rPr>
        <w:t>г., должен соответствовать положительному результату инвестирования средств пенсионных накоплений по данным бухгалтерского учета фонда за отчетный год.</w:t>
      </w:r>
    </w:p>
    <w:p w14:paraId="4B417C90" w14:textId="72B94397" w:rsidR="00010B73" w:rsidRPr="0001164B" w:rsidRDefault="00D45608" w:rsidP="007A380A">
      <w:pPr>
        <w:pStyle w:val="a3"/>
        <w:spacing w:after="0"/>
        <w:ind w:left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2.2. </w:t>
      </w:r>
      <w:r w:rsidR="00010B73" w:rsidRPr="00010B73">
        <w:rPr>
          <w:rFonts w:ascii="Century Gothic" w:hAnsi="Century Gothic"/>
          <w:sz w:val="20"/>
        </w:rPr>
        <w:t xml:space="preserve">В расчет стоимости активов, составляющих пенсионные накопления, включаются, в том числе, </w:t>
      </w:r>
      <w:r w:rsidR="00010B73">
        <w:rPr>
          <w:rFonts w:ascii="Century Gothic" w:hAnsi="Century Gothic"/>
          <w:sz w:val="20"/>
        </w:rPr>
        <w:t>остатки</w:t>
      </w:r>
      <w:r w:rsidR="00010B73" w:rsidRPr="00010B73">
        <w:rPr>
          <w:rFonts w:ascii="Century Gothic" w:hAnsi="Century Gothic"/>
          <w:sz w:val="20"/>
        </w:rPr>
        <w:t xml:space="preserve"> денежных средств на </w:t>
      </w:r>
      <w:r w:rsidR="00E008AE">
        <w:rPr>
          <w:rFonts w:ascii="Century Gothic" w:hAnsi="Century Gothic"/>
          <w:sz w:val="20"/>
        </w:rPr>
        <w:t xml:space="preserve">расчетных </w:t>
      </w:r>
      <w:r w:rsidR="00010B73" w:rsidRPr="00010B73">
        <w:rPr>
          <w:rFonts w:ascii="Century Gothic" w:hAnsi="Century Gothic"/>
          <w:sz w:val="20"/>
        </w:rPr>
        <w:t>счетах фонда, предназначенн</w:t>
      </w:r>
      <w:r w:rsidR="00E008AE">
        <w:rPr>
          <w:rFonts w:ascii="Century Gothic" w:hAnsi="Century Gothic"/>
          <w:sz w:val="20"/>
        </w:rPr>
        <w:t>ых</w:t>
      </w:r>
      <w:r w:rsidR="00010B73" w:rsidRPr="00010B73">
        <w:rPr>
          <w:rFonts w:ascii="Century Gothic" w:hAnsi="Century Gothic"/>
          <w:sz w:val="20"/>
        </w:rPr>
        <w:t xml:space="preserve"> для операций со средствами пенсионных накоплений</w:t>
      </w:r>
      <w:r w:rsidR="00CA7680">
        <w:rPr>
          <w:rFonts w:ascii="Century Gothic" w:hAnsi="Century Gothic"/>
          <w:sz w:val="20"/>
        </w:rPr>
        <w:t>.</w:t>
      </w:r>
    </w:p>
    <w:p w14:paraId="2A548BB0" w14:textId="2B0CE0F5" w:rsidR="0001164B" w:rsidRDefault="00D45608" w:rsidP="00D45608">
      <w:pPr>
        <w:pStyle w:val="a3"/>
        <w:spacing w:after="0"/>
        <w:ind w:left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</w:t>
      </w:r>
      <w:r w:rsidR="00B34919">
        <w:rPr>
          <w:rFonts w:ascii="Century Gothic" w:hAnsi="Century Gothic"/>
          <w:sz w:val="20"/>
        </w:rPr>
        <w:t>3</w:t>
      </w:r>
      <w:r>
        <w:rPr>
          <w:rFonts w:ascii="Century Gothic" w:hAnsi="Century Gothic"/>
          <w:sz w:val="20"/>
        </w:rPr>
        <w:t xml:space="preserve">. </w:t>
      </w:r>
      <w:r w:rsidR="0001164B">
        <w:rPr>
          <w:rFonts w:ascii="Century Gothic" w:hAnsi="Century Gothic"/>
          <w:sz w:val="20"/>
        </w:rPr>
        <w:t>Предельный размер переменной части вознаграждения</w:t>
      </w:r>
      <w:r w:rsidR="00BD02D9">
        <w:rPr>
          <w:rFonts w:ascii="Century Gothic" w:hAnsi="Century Gothic"/>
          <w:sz w:val="20"/>
        </w:rPr>
        <w:t xml:space="preserve"> фонда</w:t>
      </w:r>
      <w:r w:rsidR="0001164B">
        <w:rPr>
          <w:rFonts w:ascii="Century Gothic" w:hAnsi="Century Gothic"/>
          <w:sz w:val="20"/>
        </w:rPr>
        <w:t xml:space="preserve"> по всем средствам пенсионных накоплений, в том числе средствам пенсионных накоплений, включенным в резервы, не должен превышать 15% от дохода, рассчитанного в соответствии </w:t>
      </w:r>
      <w:r w:rsidR="008270DE">
        <w:rPr>
          <w:rFonts w:ascii="Century Gothic" w:hAnsi="Century Gothic"/>
          <w:sz w:val="20"/>
        </w:rPr>
        <w:t>с Указанием</w:t>
      </w:r>
      <w:r w:rsidR="0001164B" w:rsidRPr="00010B73">
        <w:rPr>
          <w:rFonts w:ascii="Century Gothic" w:hAnsi="Century Gothic"/>
          <w:sz w:val="20"/>
        </w:rPr>
        <w:t xml:space="preserve"> Банка России</w:t>
      </w:r>
      <w:r w:rsidR="0001164B">
        <w:rPr>
          <w:rFonts w:ascii="Century Gothic" w:hAnsi="Century Gothic"/>
          <w:sz w:val="20"/>
        </w:rPr>
        <w:t xml:space="preserve"> №</w:t>
      </w:r>
      <w:r w:rsidR="00BD02D9">
        <w:rPr>
          <w:rFonts w:ascii="Century Gothic" w:hAnsi="Century Gothic"/>
          <w:sz w:val="20"/>
        </w:rPr>
        <w:t> </w:t>
      </w:r>
      <w:r w:rsidR="0001164B">
        <w:rPr>
          <w:rFonts w:ascii="Century Gothic" w:hAnsi="Century Gothic"/>
          <w:sz w:val="20"/>
        </w:rPr>
        <w:t>4881-У от 23.08.2018 г.</w:t>
      </w:r>
    </w:p>
    <w:p w14:paraId="087F9D95" w14:textId="44443493" w:rsidR="0001164B" w:rsidRDefault="00D45608" w:rsidP="00D45608">
      <w:pPr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</w:t>
      </w:r>
      <w:r w:rsidR="00B34919">
        <w:rPr>
          <w:rFonts w:ascii="Century Gothic" w:hAnsi="Century Gothic"/>
          <w:sz w:val="20"/>
        </w:rPr>
        <w:t>4</w:t>
      </w:r>
      <w:r>
        <w:rPr>
          <w:rFonts w:ascii="Century Gothic" w:hAnsi="Century Gothic"/>
          <w:sz w:val="20"/>
        </w:rPr>
        <w:t xml:space="preserve">. </w:t>
      </w:r>
      <w:r w:rsidR="0001164B" w:rsidRPr="00D45608">
        <w:rPr>
          <w:rFonts w:ascii="Century Gothic" w:hAnsi="Century Gothic"/>
          <w:sz w:val="20"/>
        </w:rPr>
        <w:t>Переменная часть вознаграждения</w:t>
      </w:r>
      <w:r w:rsidR="00BD02D9">
        <w:rPr>
          <w:rFonts w:ascii="Century Gothic" w:hAnsi="Century Gothic"/>
          <w:sz w:val="20"/>
        </w:rPr>
        <w:t xml:space="preserve"> фонда</w:t>
      </w:r>
      <w:r w:rsidR="0001164B" w:rsidRPr="00D45608">
        <w:rPr>
          <w:rFonts w:ascii="Century Gothic" w:hAnsi="Century Gothic"/>
          <w:sz w:val="20"/>
        </w:rPr>
        <w:t xml:space="preserve"> рассчитывается отдельно для средств пенсионных накоплений, не включенных в резервы, средств выплатного резерва, средств резерва срочных пенсионных выплат и средств резерва по обязат</w:t>
      </w:r>
      <w:r w:rsidR="00062C21" w:rsidRPr="00D45608">
        <w:rPr>
          <w:rFonts w:ascii="Century Gothic" w:hAnsi="Century Gothic"/>
          <w:sz w:val="20"/>
        </w:rPr>
        <w:t>ельному пенсионному страхованию как величина, не превышающая 15% результатов инвестирования по данным бухгалтерского учета за отчетный год.</w:t>
      </w:r>
    </w:p>
    <w:p w14:paraId="739C03DB" w14:textId="63DF2FC8" w:rsidR="007F14F2" w:rsidRDefault="00026C76" w:rsidP="007F14F2">
      <w:pPr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</w:t>
      </w:r>
      <w:r w:rsidR="00B34919">
        <w:rPr>
          <w:rFonts w:ascii="Century Gothic" w:hAnsi="Century Gothic"/>
          <w:sz w:val="20"/>
        </w:rPr>
        <w:t>5</w:t>
      </w:r>
      <w:r>
        <w:rPr>
          <w:rFonts w:ascii="Century Gothic" w:hAnsi="Century Gothic"/>
          <w:sz w:val="20"/>
        </w:rPr>
        <w:t xml:space="preserve">. </w:t>
      </w:r>
      <w:r w:rsidRPr="00026C76">
        <w:rPr>
          <w:rFonts w:ascii="Century Gothic" w:hAnsi="Century Gothic"/>
          <w:sz w:val="20"/>
        </w:rPr>
        <w:t xml:space="preserve">Фонд осуществляет расчет </w:t>
      </w:r>
      <w:r w:rsidR="001D6620">
        <w:rPr>
          <w:rFonts w:ascii="Century Gothic" w:hAnsi="Century Gothic"/>
          <w:sz w:val="20"/>
        </w:rPr>
        <w:t>д</w:t>
      </w:r>
      <w:r w:rsidR="001D6620" w:rsidRPr="001D6620">
        <w:rPr>
          <w:rFonts w:ascii="Century Gothic" w:hAnsi="Century Gothic"/>
          <w:sz w:val="20"/>
        </w:rPr>
        <w:t>оход</w:t>
      </w:r>
      <w:r w:rsidR="001D6620">
        <w:rPr>
          <w:rFonts w:ascii="Century Gothic" w:hAnsi="Century Gothic"/>
          <w:sz w:val="20"/>
        </w:rPr>
        <w:t>а</w:t>
      </w:r>
      <w:r w:rsidR="001D6620" w:rsidRPr="001D6620">
        <w:rPr>
          <w:rFonts w:ascii="Century Gothic" w:hAnsi="Century Gothic"/>
          <w:sz w:val="20"/>
        </w:rPr>
        <w:t xml:space="preserve"> от инвестирования средств пенсионных накоплений для целей расчета переменной части вознагражде</w:t>
      </w:r>
      <w:r w:rsidR="00D12757" w:rsidRPr="00D12757">
        <w:rPr>
          <w:rFonts w:ascii="Century Gothic" w:hAnsi="Century Gothic"/>
          <w:sz w:val="20"/>
        </w:rPr>
        <w:t xml:space="preserve">ния </w:t>
      </w:r>
      <w:r w:rsidRPr="00026C76">
        <w:rPr>
          <w:rFonts w:ascii="Century Gothic" w:hAnsi="Century Gothic"/>
          <w:sz w:val="20"/>
        </w:rPr>
        <w:t xml:space="preserve">за отчетный год (I) с точностью до </w:t>
      </w:r>
      <w:r w:rsidR="007F14F2" w:rsidRPr="00026C76">
        <w:rPr>
          <w:rFonts w:ascii="Century Gothic" w:hAnsi="Century Gothic"/>
          <w:sz w:val="20"/>
        </w:rPr>
        <w:t>копеек</w:t>
      </w:r>
      <w:r w:rsidR="007F14F2">
        <w:rPr>
          <w:rFonts w:ascii="Century Gothic" w:hAnsi="Century Gothic"/>
          <w:sz w:val="20"/>
        </w:rPr>
        <w:t xml:space="preserve"> </w:t>
      </w:r>
      <w:r w:rsidR="007F14F2" w:rsidRPr="007F14F2">
        <w:rPr>
          <w:rFonts w:ascii="Century Gothic" w:hAnsi="Century Gothic"/>
          <w:sz w:val="20"/>
        </w:rPr>
        <w:t>по формуле:</w:t>
      </w:r>
    </w:p>
    <w:p w14:paraId="19138DCF" w14:textId="77777777" w:rsidR="00762A92" w:rsidRDefault="00762A92" w:rsidP="007F14F2">
      <w:pPr>
        <w:spacing w:after="0"/>
        <w:jc w:val="both"/>
        <w:rPr>
          <w:rFonts w:ascii="Century Gothic" w:hAnsi="Century Gothic"/>
          <w:sz w:val="20"/>
        </w:rPr>
      </w:pPr>
    </w:p>
    <w:p w14:paraId="09CFD627" w14:textId="77777777" w:rsidR="004D73F9" w:rsidRPr="007F14F2" w:rsidRDefault="004D73F9" w:rsidP="007F14F2">
      <w:pPr>
        <w:spacing w:after="0"/>
        <w:jc w:val="both"/>
        <w:rPr>
          <w:rFonts w:ascii="Century Gothic" w:hAnsi="Century Gothic"/>
          <w:sz w:val="20"/>
        </w:rPr>
      </w:pPr>
    </w:p>
    <w:p w14:paraId="434CE9CF" w14:textId="1973C817" w:rsidR="007F14F2" w:rsidRPr="00762A92" w:rsidRDefault="007F14F2" w:rsidP="00762A92">
      <w:pPr>
        <w:spacing w:after="0"/>
        <w:jc w:val="both"/>
        <w:rPr>
          <w:rFonts w:ascii="Century Gothic" w:hAnsi="Century Gothic"/>
          <w:sz w:val="20"/>
        </w:rPr>
      </w:pPr>
      <w:r w:rsidRPr="00762A92">
        <w:rPr>
          <w:rFonts w:ascii="Century Gothic" w:hAnsi="Century Gothic"/>
          <w:noProof/>
          <w:sz w:val="20"/>
        </w:rPr>
        <w:drawing>
          <wp:inline distT="0" distB="0" distL="0" distR="0" wp14:anchorId="3FF6A5B9" wp14:editId="1AA9F310">
            <wp:extent cx="3369310" cy="474980"/>
            <wp:effectExtent l="0" t="0" r="0" b="0"/>
            <wp:docPr id="1" name="Рисунок 1" descr="base_1_30851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0851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D0AEA" w14:textId="77777777" w:rsidR="00227280" w:rsidRDefault="00227280" w:rsidP="00EF1821">
      <w:pPr>
        <w:spacing w:after="0"/>
        <w:jc w:val="both"/>
        <w:rPr>
          <w:rFonts w:ascii="Century Gothic" w:hAnsi="Century Gothic"/>
          <w:sz w:val="20"/>
        </w:rPr>
      </w:pPr>
    </w:p>
    <w:p w14:paraId="44C4D0ED" w14:textId="77777777" w:rsidR="00762A92" w:rsidRDefault="00762A92" w:rsidP="00EF1821">
      <w:pPr>
        <w:spacing w:after="0"/>
        <w:jc w:val="both"/>
        <w:rPr>
          <w:rFonts w:ascii="Century Gothic" w:hAnsi="Century Gothic"/>
          <w:sz w:val="20"/>
        </w:rPr>
      </w:pPr>
    </w:p>
    <w:p w14:paraId="4D8FF6B4" w14:textId="77777777" w:rsidR="00762A92" w:rsidRDefault="00762A92" w:rsidP="00EF1821">
      <w:pPr>
        <w:spacing w:after="0"/>
        <w:jc w:val="both"/>
        <w:rPr>
          <w:rFonts w:ascii="Century Gothic" w:hAnsi="Century Gothic"/>
          <w:sz w:val="20"/>
        </w:rPr>
      </w:pPr>
    </w:p>
    <w:p w14:paraId="26F832BB" w14:textId="77777777" w:rsidR="00762A92" w:rsidRDefault="00762A92" w:rsidP="00EF1821">
      <w:pPr>
        <w:spacing w:after="0"/>
        <w:jc w:val="both"/>
        <w:rPr>
          <w:rFonts w:ascii="Century Gothic" w:hAnsi="Century Gothic"/>
          <w:sz w:val="20"/>
        </w:rPr>
      </w:pPr>
    </w:p>
    <w:p w14:paraId="1ABEF386" w14:textId="77777777" w:rsidR="00762A92" w:rsidRDefault="00762A92" w:rsidP="00EF1821">
      <w:pPr>
        <w:spacing w:after="0"/>
        <w:jc w:val="both"/>
        <w:rPr>
          <w:rFonts w:ascii="Century Gothic" w:hAnsi="Century Gothic"/>
          <w:sz w:val="20"/>
        </w:rPr>
      </w:pPr>
    </w:p>
    <w:p w14:paraId="2F2865D0" w14:textId="514130DA" w:rsidR="003D4E85" w:rsidRPr="003D4E85" w:rsidRDefault="003D4E85" w:rsidP="009843F7">
      <w:pPr>
        <w:pStyle w:val="11"/>
        <w:numPr>
          <w:ilvl w:val="0"/>
          <w:numId w:val="0"/>
        </w:numPr>
        <w:spacing w:before="0"/>
        <w:jc w:val="left"/>
        <w:outlineLvl w:val="0"/>
        <w:rPr>
          <w:rFonts w:ascii="Century Gothic" w:eastAsiaTheme="minorHAnsi" w:hAnsi="Century Gothic" w:cstheme="minorBidi"/>
          <w:b/>
          <w:sz w:val="20"/>
          <w:szCs w:val="22"/>
        </w:rPr>
      </w:pPr>
      <w:r w:rsidRPr="003D4E85">
        <w:rPr>
          <w:rFonts w:ascii="Century Gothic" w:eastAsiaTheme="minorHAnsi" w:hAnsi="Century Gothic" w:cstheme="minorBidi"/>
          <w:b/>
          <w:sz w:val="20"/>
          <w:szCs w:val="22"/>
        </w:rPr>
        <w:lastRenderedPageBreak/>
        <w:t xml:space="preserve">Пример </w:t>
      </w:r>
      <w:r>
        <w:rPr>
          <w:rFonts w:ascii="Century Gothic" w:eastAsiaTheme="minorHAnsi" w:hAnsi="Century Gothic" w:cstheme="minorBidi"/>
          <w:b/>
          <w:sz w:val="20"/>
          <w:szCs w:val="22"/>
        </w:rPr>
        <w:t>таблицы расчета переменной части вознаграждения Фонда</w:t>
      </w:r>
    </w:p>
    <w:p w14:paraId="3BD695E2" w14:textId="77777777" w:rsidR="003D4E85" w:rsidRPr="00D45608" w:rsidRDefault="003D4E85" w:rsidP="008D2635">
      <w:pPr>
        <w:spacing w:after="0" w:line="240" w:lineRule="auto"/>
        <w:rPr>
          <w:rFonts w:ascii="Century Gothic" w:hAnsi="Century Gothic"/>
          <w:sz w:val="20"/>
        </w:rPr>
      </w:pPr>
    </w:p>
    <w:p w14:paraId="3240D738" w14:textId="77777777" w:rsidR="00227280" w:rsidRPr="00D45608" w:rsidRDefault="00227280" w:rsidP="006741F0">
      <w:pPr>
        <w:spacing w:after="0" w:line="240" w:lineRule="auto"/>
        <w:outlineLvl w:val="0"/>
        <w:rPr>
          <w:rFonts w:ascii="Century Gothic" w:hAnsi="Century Gothic"/>
          <w:sz w:val="20"/>
        </w:rPr>
      </w:pPr>
      <w:r w:rsidRPr="00D45608">
        <w:rPr>
          <w:rFonts w:ascii="Century Gothic" w:hAnsi="Century Gothic"/>
          <w:sz w:val="20"/>
        </w:rPr>
        <w:t>ФОНД</w:t>
      </w:r>
      <w:r w:rsidR="003D4E85">
        <w:rPr>
          <w:rFonts w:ascii="Century Gothic" w:hAnsi="Century Gothic"/>
          <w:sz w:val="20"/>
        </w:rPr>
        <w:t xml:space="preserve"> _________________________________________________</w:t>
      </w:r>
    </w:p>
    <w:p w14:paraId="7C8D4A32" w14:textId="77777777" w:rsidR="00227280" w:rsidRPr="00D45608" w:rsidRDefault="00227280" w:rsidP="008D2635">
      <w:pPr>
        <w:spacing w:after="0" w:line="240" w:lineRule="auto"/>
        <w:rPr>
          <w:rFonts w:ascii="Century Gothic" w:hAnsi="Century Gothic"/>
          <w:sz w:val="20"/>
        </w:rPr>
      </w:pPr>
    </w:p>
    <w:p w14:paraId="53644B9C" w14:textId="67357128" w:rsidR="00227280" w:rsidRPr="00D45608" w:rsidRDefault="00227280" w:rsidP="00227280">
      <w:pPr>
        <w:spacing w:after="0" w:line="240" w:lineRule="auto"/>
        <w:rPr>
          <w:rFonts w:ascii="Century Gothic" w:hAnsi="Century Gothic"/>
          <w:sz w:val="20"/>
        </w:rPr>
      </w:pPr>
      <w:r w:rsidRPr="00D45608">
        <w:rPr>
          <w:rFonts w:ascii="Century Gothic" w:hAnsi="Century Gothic"/>
          <w:sz w:val="20"/>
        </w:rPr>
        <w:t>Портфель</w:t>
      </w:r>
      <w:r w:rsidR="003D4E85">
        <w:rPr>
          <w:rFonts w:ascii="Century Gothic" w:hAnsi="Century Gothic"/>
          <w:sz w:val="20"/>
        </w:rPr>
        <w:t xml:space="preserve"> __________________________________________</w:t>
      </w:r>
    </w:p>
    <w:p w14:paraId="49B58BCB" w14:textId="77777777" w:rsidR="00227280" w:rsidRPr="00D45608" w:rsidRDefault="00227280" w:rsidP="008D2635">
      <w:pPr>
        <w:spacing w:after="0" w:line="240" w:lineRule="auto"/>
        <w:jc w:val="center"/>
        <w:rPr>
          <w:rFonts w:ascii="Century Gothic" w:hAnsi="Century Gothic"/>
          <w:sz w:val="20"/>
        </w:rPr>
      </w:pPr>
    </w:p>
    <w:p w14:paraId="54C0C8B5" w14:textId="5318FEAB" w:rsidR="00227280" w:rsidRPr="00D45608" w:rsidRDefault="00227280" w:rsidP="00227280">
      <w:pPr>
        <w:spacing w:after="0" w:line="240" w:lineRule="auto"/>
        <w:jc w:val="center"/>
        <w:rPr>
          <w:rFonts w:ascii="Century Gothic" w:hAnsi="Century Gothic"/>
          <w:sz w:val="20"/>
        </w:rPr>
      </w:pPr>
      <w:r w:rsidRPr="00D45608">
        <w:rPr>
          <w:rFonts w:ascii="Century Gothic" w:hAnsi="Century Gothic"/>
          <w:sz w:val="20"/>
        </w:rPr>
        <w:t>Расчет Переменной части вознаграждения Фонда по итогам 20</w:t>
      </w:r>
      <w:r w:rsidR="00D12757">
        <w:rPr>
          <w:rFonts w:ascii="Century Gothic" w:hAnsi="Century Gothic"/>
          <w:sz w:val="20"/>
        </w:rPr>
        <w:t>21</w:t>
      </w:r>
      <w:r w:rsidRPr="00D45608">
        <w:rPr>
          <w:rFonts w:ascii="Century Gothic" w:hAnsi="Century Gothic"/>
          <w:sz w:val="20"/>
        </w:rPr>
        <w:t xml:space="preserve"> года</w:t>
      </w:r>
      <w:r w:rsidR="00BD02D9">
        <w:rPr>
          <w:rFonts w:ascii="Century Gothic" w:hAnsi="Century Gothic"/>
          <w:sz w:val="20"/>
        </w:rPr>
        <w:br/>
      </w:r>
      <w:r w:rsidRPr="00D45608">
        <w:rPr>
          <w:rFonts w:ascii="Century Gothic" w:hAnsi="Century Gothic"/>
          <w:sz w:val="20"/>
        </w:rPr>
        <w:t>согласно Указани</w:t>
      </w:r>
      <w:r w:rsidR="00D12757">
        <w:rPr>
          <w:rFonts w:ascii="Century Gothic" w:hAnsi="Century Gothic"/>
          <w:sz w:val="20"/>
        </w:rPr>
        <w:t>ю</w:t>
      </w:r>
      <w:r w:rsidRPr="00D45608">
        <w:rPr>
          <w:rFonts w:ascii="Century Gothic" w:hAnsi="Century Gothic"/>
          <w:sz w:val="20"/>
        </w:rPr>
        <w:t xml:space="preserve"> Банка России </w:t>
      </w:r>
      <w:r w:rsidR="00BD02D9">
        <w:rPr>
          <w:rFonts w:ascii="Century Gothic" w:hAnsi="Century Gothic"/>
          <w:sz w:val="20"/>
        </w:rPr>
        <w:t>№ </w:t>
      </w:r>
      <w:r w:rsidRPr="00D45608">
        <w:rPr>
          <w:rFonts w:ascii="Century Gothic" w:hAnsi="Century Gothic"/>
          <w:sz w:val="20"/>
        </w:rPr>
        <w:t>4881-У от 23.08.2018 года</w:t>
      </w:r>
    </w:p>
    <w:p w14:paraId="02E0990E" w14:textId="77777777" w:rsidR="00227280" w:rsidRPr="00D45608" w:rsidRDefault="00227280" w:rsidP="008D2635">
      <w:pPr>
        <w:spacing w:after="0" w:line="240" w:lineRule="auto"/>
        <w:rPr>
          <w:rFonts w:ascii="Century Gothic" w:hAnsi="Century Gothic"/>
          <w:sz w:val="20"/>
        </w:rPr>
      </w:pPr>
    </w:p>
    <w:p w14:paraId="7D5C64A1" w14:textId="77777777" w:rsidR="00227280" w:rsidRPr="00D45608" w:rsidRDefault="00227280" w:rsidP="008D2635">
      <w:pPr>
        <w:spacing w:after="0" w:line="240" w:lineRule="auto"/>
        <w:jc w:val="right"/>
        <w:rPr>
          <w:rFonts w:ascii="Century Gothic" w:hAnsi="Century Gothic"/>
          <w:sz w:val="20"/>
        </w:rPr>
      </w:pPr>
      <w:r w:rsidRPr="00D45608">
        <w:rPr>
          <w:rFonts w:ascii="Century Gothic" w:hAnsi="Century Gothic"/>
          <w:sz w:val="20"/>
        </w:rPr>
        <w:t>(руб. коп.)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100"/>
        <w:gridCol w:w="4962"/>
        <w:gridCol w:w="1590"/>
        <w:gridCol w:w="1670"/>
      </w:tblGrid>
      <w:tr w:rsidR="008D2635" w:rsidRPr="008D2635" w14:paraId="304CECBB" w14:textId="77777777" w:rsidTr="009843F7">
        <w:trPr>
          <w:trHeight w:val="765"/>
          <w:tblHeader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DAF" w14:textId="77777777" w:rsidR="008D2635" w:rsidRPr="00D45608" w:rsidRDefault="008D2635" w:rsidP="008D263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8375" w14:textId="77777777" w:rsidR="008D2635" w:rsidRPr="00D45608" w:rsidRDefault="008D2635" w:rsidP="008D263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Наименование показателя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406" w14:textId="77777777" w:rsidR="008D2635" w:rsidRPr="00D45608" w:rsidRDefault="008D2635" w:rsidP="008D263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 xml:space="preserve">Обозначение согласно Указанию </w:t>
            </w:r>
            <w:r w:rsidR="00BD02D9">
              <w:rPr>
                <w:rFonts w:ascii="Century Gothic" w:hAnsi="Century Gothic"/>
                <w:sz w:val="20"/>
              </w:rPr>
              <w:t>№ </w:t>
            </w:r>
            <w:r w:rsidRPr="00D45608">
              <w:rPr>
                <w:rFonts w:ascii="Century Gothic" w:hAnsi="Century Gothic"/>
                <w:sz w:val="20"/>
              </w:rPr>
              <w:t>4881-У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5FD2" w14:textId="77777777" w:rsidR="008D2635" w:rsidRPr="00D45608" w:rsidRDefault="008D2635" w:rsidP="008D263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Значение</w:t>
            </w:r>
          </w:p>
        </w:tc>
      </w:tr>
      <w:tr w:rsidR="007F14F2" w:rsidRPr="008D2635" w14:paraId="61B5D0BF" w14:textId="77777777" w:rsidTr="00EF1821">
        <w:trPr>
          <w:trHeight w:val="141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422B" w14:textId="4BA7C424" w:rsidR="007F14F2" w:rsidRPr="00D45608" w:rsidRDefault="007F14F2" w:rsidP="008D263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ACED" w14:textId="77777777" w:rsidR="007F14F2" w:rsidRDefault="007F14F2" w:rsidP="00026C76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  <w:p w14:paraId="0209C3C3" w14:textId="77777777" w:rsidR="007F14F2" w:rsidRDefault="007F14F2" w:rsidP="00026C76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  <w:p w14:paraId="77084BAD" w14:textId="0C4827BA" w:rsidR="007F14F2" w:rsidRPr="00D45608" w:rsidRDefault="007F14F2" w:rsidP="00026C76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7F14F2">
              <w:rPr>
                <w:rFonts w:ascii="Century Gothic" w:hAnsi="Century Gothic"/>
                <w:sz w:val="20"/>
              </w:rPr>
              <w:t>порядковый номер периода инвестирования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3246" w14:textId="79B0B377" w:rsidR="007F14F2" w:rsidRPr="00D45608" w:rsidRDefault="007F14F2" w:rsidP="00EF1821">
            <w:pPr>
              <w:spacing w:after="0" w:line="240" w:lineRule="auto"/>
              <w:jc w:val="center"/>
              <w:rPr>
                <w:rFonts w:ascii="Century Gothic" w:hAnsi="Century Gothic"/>
                <w:noProof/>
                <w:sz w:val="20"/>
              </w:rPr>
            </w:pPr>
            <w:r>
              <w:t>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55CF" w14:textId="2B8CD633" w:rsidR="007F14F2" w:rsidRPr="00D45608" w:rsidRDefault="007F14F2" w:rsidP="00EF182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F14F2" w:rsidRPr="008D2635" w14:paraId="79086D18" w14:textId="77777777" w:rsidTr="00227280">
        <w:trPr>
          <w:trHeight w:val="18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35AB" w14:textId="7E1C6AAD" w:rsidR="007F14F2" w:rsidRPr="00D45608" w:rsidRDefault="007F14F2" w:rsidP="00EF1821">
            <w:pPr>
              <w:spacing w:after="0" w:line="240" w:lineRule="exact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AB7A" w14:textId="77777777" w:rsidR="007F14F2" w:rsidRDefault="007F14F2" w:rsidP="00026C76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  <w:p w14:paraId="3BEC3F70" w14:textId="77777777" w:rsidR="007F14F2" w:rsidRDefault="007F14F2" w:rsidP="00026C76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  <w:p w14:paraId="6493AD2C" w14:textId="6C58BB1A" w:rsidR="007F14F2" w:rsidRPr="007F14F2" w:rsidRDefault="007F14F2" w:rsidP="00026C76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7F14F2">
              <w:rPr>
                <w:rFonts w:ascii="Century Gothic" w:hAnsi="Century Gothic"/>
                <w:sz w:val="20"/>
              </w:rPr>
              <w:t>число периодов инвестирования в отчетном году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58D7" w14:textId="139F666E" w:rsidR="007F14F2" w:rsidRDefault="007F14F2" w:rsidP="00EF1821">
            <w:pPr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DA23" w14:textId="55023C11" w:rsidR="007F14F2" w:rsidRPr="00D45608" w:rsidRDefault="007F14F2" w:rsidP="00EF182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D2635" w:rsidRPr="008D2635" w14:paraId="618582D2" w14:textId="77777777" w:rsidTr="00D12757">
        <w:trPr>
          <w:trHeight w:val="18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9C13" w14:textId="33B86F59" w:rsidR="008D2635" w:rsidRPr="00D45608" w:rsidRDefault="004D73F9" w:rsidP="004D73F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4C15" w14:textId="1476F01E" w:rsidR="008D2635" w:rsidRPr="00D45608" w:rsidRDefault="008D2635" w:rsidP="00762A9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 xml:space="preserve">стоимость активов, составляющих пенсионные накопления, по данным бухгалтерского учета на конец последнего дня периода инвестирования k с учетом всех корректирующих событий, подлежащих отражению в бухгалтерском учете в соответствии с Положением Банка России от 16 декабря 2015 года </w:t>
            </w:r>
            <w:r w:rsidR="00BD02D9">
              <w:rPr>
                <w:rFonts w:ascii="Century Gothic" w:hAnsi="Century Gothic"/>
                <w:sz w:val="20"/>
              </w:rPr>
              <w:t>№</w:t>
            </w:r>
            <w:r w:rsidR="00BD02D9" w:rsidRPr="00D45608">
              <w:rPr>
                <w:rFonts w:ascii="Century Gothic" w:hAnsi="Century Gothic"/>
                <w:sz w:val="20"/>
              </w:rPr>
              <w:t xml:space="preserve"> </w:t>
            </w:r>
            <w:r w:rsidRPr="00D45608">
              <w:rPr>
                <w:rFonts w:ascii="Century Gothic" w:hAnsi="Century Gothic"/>
                <w:sz w:val="20"/>
              </w:rPr>
              <w:t xml:space="preserve">520-П </w:t>
            </w:r>
            <w:r w:rsidR="00BD02D9">
              <w:rPr>
                <w:rFonts w:ascii="Century Gothic" w:hAnsi="Century Gothic"/>
                <w:sz w:val="20"/>
              </w:rPr>
              <w:t>«</w:t>
            </w:r>
            <w:r w:rsidRPr="00D45608">
              <w:rPr>
                <w:rFonts w:ascii="Century Gothic" w:hAnsi="Century Gothic"/>
                <w:sz w:val="20"/>
              </w:rPr>
              <w:t xml:space="preserve">Отраслевой стандарт бухгалтерского учета </w:t>
            </w:r>
            <w:proofErr w:type="spellStart"/>
            <w:r w:rsidRPr="00D45608">
              <w:rPr>
                <w:rFonts w:ascii="Century Gothic" w:hAnsi="Century Gothic"/>
                <w:sz w:val="20"/>
              </w:rPr>
              <w:t>некредитными</w:t>
            </w:r>
            <w:proofErr w:type="spellEnd"/>
            <w:r w:rsidRPr="00D45608">
              <w:rPr>
                <w:rFonts w:ascii="Century Gothic" w:hAnsi="Century Gothic"/>
                <w:sz w:val="20"/>
              </w:rPr>
              <w:t xml:space="preserve"> финансовыми организациями событий после окончания отчетного периода</w:t>
            </w:r>
            <w:r w:rsidR="00BD02D9">
              <w:rPr>
                <w:rFonts w:ascii="Century Gothic" w:hAnsi="Century Gothic"/>
                <w:sz w:val="20"/>
              </w:rPr>
              <w:t>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B0E5" w14:textId="77777777" w:rsidR="008D2635" w:rsidRPr="00D45608" w:rsidRDefault="007F7199" w:rsidP="008D2635">
            <w:pPr>
              <w:spacing w:after="0" w:line="240" w:lineRule="auto"/>
              <w:jc w:val="right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656192" behindDoc="0" locked="0" layoutInCell="1" allowOverlap="1" wp14:anchorId="7A1B0A6B" wp14:editId="7A6B959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361950</wp:posOffset>
                  </wp:positionV>
                  <wp:extent cx="333375" cy="371475"/>
                  <wp:effectExtent l="0" t="0" r="0" b="0"/>
                  <wp:wrapNone/>
                  <wp:docPr id="16845" name="Рисунок 16845" descr="base_1_308517_327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B944A14-666B-499D-B850-F38AC14913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5" name="Рисунок 1" descr="base_1_308517_3276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B944A14-666B-499D-B850-F38AC14913DC}"/>
                              </a:ext>
                            </a:extLst>
                          </pic:cNvPr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3747" w14:textId="51C73456" w:rsidR="008D2635" w:rsidRPr="00D45608" w:rsidRDefault="008D2635" w:rsidP="008D2635">
            <w:pPr>
              <w:spacing w:after="0" w:line="240" w:lineRule="auto"/>
              <w:jc w:val="right"/>
              <w:rPr>
                <w:rFonts w:ascii="Century Gothic" w:hAnsi="Century Gothic"/>
                <w:sz w:val="20"/>
              </w:rPr>
            </w:pPr>
          </w:p>
        </w:tc>
      </w:tr>
      <w:tr w:rsidR="008D2635" w:rsidRPr="008D2635" w14:paraId="4793FDA0" w14:textId="77777777" w:rsidTr="00D12757">
        <w:trPr>
          <w:trHeight w:val="13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9F02" w14:textId="1AD1A4E4" w:rsidR="008D2635" w:rsidRPr="00D45608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FF12" w14:textId="0CD2F7BE" w:rsidR="008D2635" w:rsidRPr="00D45608" w:rsidRDefault="008D2635" w:rsidP="00762A92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сумма величин - размера постоянной части вознаграждения фонда за период инвестирования k и размера необходимых расходов управляющих компаний, непосредственно связанных с инвестированием средств пенсионных накоплений и оплачиваемых из средств пенсионных накоплений (далее - расходы управляющей компании), за период инвестирования k, в части, не оплаченной за счет средств пенсионных накоплений по состоянию на последний день периода инвестирования k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2C3B" w14:textId="77777777" w:rsidR="008D2635" w:rsidRPr="00D45608" w:rsidRDefault="007F7199" w:rsidP="008D2635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0C55CEB2" wp14:editId="52E72F3F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200025</wp:posOffset>
                  </wp:positionV>
                  <wp:extent cx="409575" cy="342900"/>
                  <wp:effectExtent l="0" t="0" r="9525" b="0"/>
                  <wp:wrapNone/>
                  <wp:docPr id="16846" name="Рисунок 16846" descr="base_1_308517_327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34A948-4567-4CD1-AAE6-A9724C77C9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6" name="Рисунок 2" descr="base_1_308517_3277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34A948-4567-4CD1-AAE6-A9724C77C970}"/>
                              </a:ext>
                            </a:extLst>
                          </pic:cNvPr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B358" w14:textId="622FB11D" w:rsidR="008D2635" w:rsidRPr="00D45608" w:rsidRDefault="008D2635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</w:p>
        </w:tc>
      </w:tr>
      <w:tr w:rsidR="008D2635" w:rsidRPr="008D2635" w14:paraId="7336A097" w14:textId="77777777" w:rsidTr="00227280">
        <w:trPr>
          <w:trHeight w:val="6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C7FB" w14:textId="77AF8DCD" w:rsidR="008D2635" w:rsidRPr="00D45608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AE65" w14:textId="0842FC3A" w:rsidR="008D2635" w:rsidRPr="00D45608" w:rsidRDefault="008D2635" w:rsidP="00762A92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стоимость активов, составляющих пенсионные накопления, по данным бухгалтерского учета на начало первого дня периода инвестирования k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13BD" w14:textId="77777777" w:rsidR="008D2635" w:rsidRPr="00D45608" w:rsidRDefault="007F7199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A0C60A7" wp14:editId="17E4953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76200</wp:posOffset>
                  </wp:positionV>
                  <wp:extent cx="371475" cy="314325"/>
                  <wp:effectExtent l="0" t="0" r="0" b="0"/>
                  <wp:wrapNone/>
                  <wp:docPr id="16847" name="Рисунок 16847" descr="base_1_308517_327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1D93A1-E20C-42B9-8104-13CE39D53D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7" name="Рисунок 3" descr="base_1_308517_3277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1D93A1-E20C-42B9-8104-13CE39D53D70}"/>
                              </a:ext>
                            </a:extLst>
                          </pic:cNvPr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F23B" w14:textId="5AAA98A0" w:rsidR="008D2635" w:rsidRPr="00D45608" w:rsidRDefault="008D2635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</w:p>
        </w:tc>
      </w:tr>
      <w:tr w:rsidR="008D2635" w:rsidRPr="008D2635" w14:paraId="156FAA1C" w14:textId="77777777" w:rsidTr="00BD02D9">
        <w:trPr>
          <w:trHeight w:val="8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B513" w14:textId="24DFDC8C" w:rsidR="008D2635" w:rsidRPr="00D45608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42E3" w14:textId="31E67C4D" w:rsidR="008D2635" w:rsidRPr="00D45608" w:rsidRDefault="008D2635" w:rsidP="00762A92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 xml:space="preserve">сумма величин - размера постоянной части вознаграждения фонда за период инвестирования, предшествующий периоду инвестирования k, и размера расходов управляющих компаний за период </w:t>
            </w:r>
            <w:r w:rsidRPr="00D45608">
              <w:rPr>
                <w:rFonts w:ascii="Century Gothic" w:hAnsi="Century Gothic"/>
                <w:sz w:val="20"/>
              </w:rPr>
              <w:lastRenderedPageBreak/>
              <w:t>инвестирования, предшествующий периоду инвестирования k, в части, не оплаченной за счет средств пенсионных накоплений по состоянию на последний день периода инвестирования, предшествующего периоду инвестирования k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604" w14:textId="77777777" w:rsidR="008D2635" w:rsidRPr="00D45608" w:rsidRDefault="007F7199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73C97A6" wp14:editId="2A929824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266700</wp:posOffset>
                  </wp:positionV>
                  <wp:extent cx="371475" cy="352425"/>
                  <wp:effectExtent l="0" t="0" r="9525" b="0"/>
                  <wp:wrapNone/>
                  <wp:docPr id="16848" name="Рисунок 16848" descr="base_1_308517_327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3DC5E7-E57B-4B3C-8303-EBC2844609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8" name="Рисунок 4" descr="base_1_308517_3277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3DC5E7-E57B-4B3C-8303-EBC28446090E}"/>
                              </a:ext>
                            </a:extLst>
                          </pic:cNvPr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0258" w14:textId="77777777" w:rsidR="008D2635" w:rsidRPr="00D45608" w:rsidRDefault="008D2635" w:rsidP="008D2635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 </w:t>
            </w:r>
          </w:p>
        </w:tc>
      </w:tr>
      <w:tr w:rsidR="008D2635" w:rsidRPr="008D2635" w14:paraId="4ADB6E83" w14:textId="77777777" w:rsidTr="00D45608">
        <w:trPr>
          <w:trHeight w:val="73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A3A" w14:textId="1D292CB1" w:rsidR="008D2635" w:rsidRPr="00D45608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3CE8" w14:textId="723B61CC" w:rsidR="008D2635" w:rsidRPr="00D45608" w:rsidRDefault="008D2635" w:rsidP="00762A92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 xml:space="preserve">сумма средств, поступивших в состав пенсионных накоплений в периоде инвестирования k, за вычетом суммы средств, выбывших из состава пенсионных накоплений в периоде инвестирования k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513F" w14:textId="77777777" w:rsidR="008D2635" w:rsidRPr="00D45608" w:rsidRDefault="008D2635" w:rsidP="008D2635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proofErr w:type="spellStart"/>
            <w:r w:rsidRPr="00D45608">
              <w:rPr>
                <w:rFonts w:ascii="Century Gothic" w:hAnsi="Century Gothic"/>
                <w:sz w:val="20"/>
              </w:rPr>
              <w:t>Fk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A3E0" w14:textId="5DAE0BF6" w:rsidR="008D2635" w:rsidRPr="00D45608" w:rsidRDefault="008D2635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</w:p>
        </w:tc>
      </w:tr>
      <w:tr w:rsidR="008D2635" w:rsidRPr="008D2635" w14:paraId="03CF576A" w14:textId="77777777" w:rsidTr="00D45608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82E3" w14:textId="77777777" w:rsidR="008D2635" w:rsidRPr="00D45608" w:rsidRDefault="008D2635" w:rsidP="008D2635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2AE3" w14:textId="77777777" w:rsidR="008D2635" w:rsidRPr="00D45608" w:rsidRDefault="008D2635" w:rsidP="008D2635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 xml:space="preserve">В расчет показателя </w:t>
            </w:r>
            <w:proofErr w:type="spellStart"/>
            <w:r w:rsidRPr="00D45608">
              <w:rPr>
                <w:rFonts w:ascii="Century Gothic" w:hAnsi="Century Gothic"/>
                <w:sz w:val="20"/>
              </w:rPr>
              <w:t>Fk</w:t>
            </w:r>
            <w:proofErr w:type="spellEnd"/>
            <w:r w:rsidRPr="00D45608">
              <w:rPr>
                <w:rFonts w:ascii="Century Gothic" w:hAnsi="Century Gothic"/>
                <w:sz w:val="20"/>
              </w:rPr>
              <w:t xml:space="preserve"> не включаются следующие величины: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9EF" w14:textId="77777777" w:rsidR="008D2635" w:rsidRPr="00D45608" w:rsidRDefault="008D2635" w:rsidP="00BD02D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CFF" w14:textId="77777777" w:rsidR="008D2635" w:rsidRPr="00D45608" w:rsidRDefault="008D2635" w:rsidP="00BD02D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</w:p>
        </w:tc>
      </w:tr>
      <w:tr w:rsidR="008D2635" w:rsidRPr="008D2635" w14:paraId="4AA17B57" w14:textId="77777777" w:rsidTr="00D45608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2BE3" w14:textId="4FA44A15" w:rsidR="008D2635" w:rsidRPr="00D45608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</w:t>
            </w:r>
            <w:r w:rsidR="008D2635" w:rsidRPr="00D45608">
              <w:rPr>
                <w:rFonts w:ascii="Century Gothic" w:hAnsi="Century Gothic"/>
                <w:sz w:val="20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8E04" w14:textId="03731660" w:rsidR="008D2635" w:rsidRPr="00D45608" w:rsidRDefault="008D2635" w:rsidP="00BD02D9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 xml:space="preserve">размер постоянной части </w:t>
            </w:r>
            <w:r w:rsidR="00026C76">
              <w:rPr>
                <w:rFonts w:ascii="Century Gothic" w:hAnsi="Century Gothic"/>
                <w:sz w:val="20"/>
              </w:rPr>
              <w:t xml:space="preserve">вознаграждения, </w:t>
            </w:r>
            <w:r w:rsidRPr="00D45608">
              <w:rPr>
                <w:rFonts w:ascii="Century Gothic" w:hAnsi="Century Gothic"/>
                <w:sz w:val="20"/>
              </w:rPr>
              <w:t>выплаченной фонду, и размер расходов управляющих компаний;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EE2C" w14:textId="77777777" w:rsidR="008D2635" w:rsidRPr="00D45608" w:rsidRDefault="008D2635" w:rsidP="008D2635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2BC" w14:textId="4B1A576C" w:rsidR="008D2635" w:rsidRPr="00D45608" w:rsidRDefault="00D12757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  <w:r w:rsidRPr="00D12757">
              <w:rPr>
                <w:rFonts w:ascii="Century Gothic" w:hAnsi="Century Gothic"/>
                <w:sz w:val="20"/>
              </w:rPr>
              <w:t>0,00</w:t>
            </w:r>
          </w:p>
        </w:tc>
      </w:tr>
      <w:tr w:rsidR="008D2635" w:rsidRPr="008D2635" w14:paraId="70328F64" w14:textId="77777777" w:rsidTr="00D45608">
        <w:trPr>
          <w:trHeight w:val="76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98AA" w14:textId="6CBAE1EA" w:rsidR="008D2635" w:rsidRPr="00D45608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</w:t>
            </w:r>
            <w:r w:rsidR="008D2635" w:rsidRPr="00D45608">
              <w:rPr>
                <w:rFonts w:ascii="Century Gothic" w:hAnsi="Century Gothic"/>
                <w:sz w:val="20"/>
              </w:rPr>
              <w:t>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865A" w14:textId="77777777" w:rsidR="008D2635" w:rsidRPr="00D45608" w:rsidRDefault="008D2635" w:rsidP="008D2635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сумма средств, поступивших по активам, составляющим пенсионные накопления, в том числе в связи с погашением (выкупом) актива, составляющего пенсионные накопления, лицом, обязанным по такому активу;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074E" w14:textId="77777777" w:rsidR="008D2635" w:rsidRPr="00D45608" w:rsidRDefault="008D2635" w:rsidP="008D2635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28A8" w14:textId="77777777" w:rsidR="008D2635" w:rsidRPr="00D45608" w:rsidRDefault="008D2635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0,00</w:t>
            </w:r>
          </w:p>
        </w:tc>
      </w:tr>
      <w:tr w:rsidR="008D2635" w:rsidRPr="008D2635" w14:paraId="15C02201" w14:textId="77777777" w:rsidTr="00D45608">
        <w:trPr>
          <w:trHeight w:val="52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F1C7" w14:textId="5879C97D" w:rsidR="008D2635" w:rsidRPr="00D45608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</w:t>
            </w:r>
            <w:r w:rsidR="008D2635" w:rsidRPr="00D45608">
              <w:rPr>
                <w:rFonts w:ascii="Century Gothic" w:hAnsi="Century Gothic"/>
                <w:sz w:val="20"/>
              </w:rPr>
              <w:t>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4246" w14:textId="77777777" w:rsidR="008D2635" w:rsidRPr="00D45608" w:rsidRDefault="008D2635" w:rsidP="008D2635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сумма средств, выбывших и поступивших в состав пенсионных накоплений в результате сделок с активами, составляющими пенсионные накопления.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4F3F" w14:textId="77777777" w:rsidR="008D2635" w:rsidRPr="00D45608" w:rsidRDefault="008D2635" w:rsidP="008D2635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F93A" w14:textId="77777777" w:rsidR="008D2635" w:rsidRPr="00D45608" w:rsidRDefault="008D2635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0,00</w:t>
            </w:r>
          </w:p>
        </w:tc>
      </w:tr>
      <w:tr w:rsidR="00227280" w:rsidRPr="008D2635" w14:paraId="4729E64B" w14:textId="77777777" w:rsidTr="00DD721B">
        <w:trPr>
          <w:trHeight w:val="52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447A" w14:textId="5333A770" w:rsidR="00227280" w:rsidRPr="00D45608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B412" w14:textId="6B23C86A" w:rsidR="00227280" w:rsidRPr="00D45608" w:rsidRDefault="00227280" w:rsidP="00762A92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Доход от инвестирования средств пенсионных накоплений для целей расчета переменной части вознаграждения (далее - расчет дохода)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CF68" w14:textId="53633F84" w:rsidR="00227280" w:rsidRPr="00DD721B" w:rsidRDefault="00DD721B" w:rsidP="008D2635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C3D1" w14:textId="228A0E16" w:rsidR="00227280" w:rsidRPr="00D45608" w:rsidRDefault="00227280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</w:p>
        </w:tc>
      </w:tr>
      <w:tr w:rsidR="00227280" w:rsidRPr="008D2635" w14:paraId="46B52403" w14:textId="77777777" w:rsidTr="00DD721B">
        <w:trPr>
          <w:trHeight w:val="52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9C05" w14:textId="7FAB4428" w:rsidR="00227280" w:rsidRDefault="004D73F9" w:rsidP="004D73F9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3E4F" w14:textId="6862B5E1" w:rsidR="00227280" w:rsidRPr="00D45608" w:rsidRDefault="00227280" w:rsidP="007A380A">
            <w:pPr>
              <w:spacing w:after="0" w:line="240" w:lineRule="auto"/>
              <w:outlineLvl w:val="1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Прибыль по данным бухгалтерского учета по итогам 20</w:t>
            </w:r>
            <w:r w:rsidR="007A380A">
              <w:rPr>
                <w:rFonts w:ascii="Century Gothic" w:hAnsi="Century Gothic"/>
                <w:sz w:val="20"/>
              </w:rPr>
              <w:t>21</w:t>
            </w:r>
            <w:r w:rsidRPr="00D45608">
              <w:rPr>
                <w:rFonts w:ascii="Century Gothic" w:hAnsi="Century Gothic"/>
                <w:sz w:val="20"/>
              </w:rPr>
              <w:t xml:space="preserve">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5C61" w14:textId="77777777" w:rsidR="00227280" w:rsidRPr="00D45608" w:rsidRDefault="00227280" w:rsidP="008D2635">
            <w:pPr>
              <w:spacing w:after="0" w:line="240" w:lineRule="auto"/>
              <w:jc w:val="center"/>
              <w:outlineLvl w:val="1"/>
              <w:rPr>
                <w:rFonts w:ascii="Century Gothic" w:hAnsi="Century Gothic"/>
                <w:sz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DBC7E" w14:textId="254B3444" w:rsidR="00227280" w:rsidRPr="00D45608" w:rsidRDefault="00227280" w:rsidP="008D2635">
            <w:pPr>
              <w:spacing w:after="0" w:line="240" w:lineRule="auto"/>
              <w:jc w:val="right"/>
              <w:outlineLvl w:val="1"/>
              <w:rPr>
                <w:rFonts w:ascii="Century Gothic" w:hAnsi="Century Gothic"/>
                <w:sz w:val="20"/>
              </w:rPr>
            </w:pPr>
          </w:p>
        </w:tc>
      </w:tr>
      <w:tr w:rsidR="008D2635" w:rsidRPr="00D45608" w14:paraId="7DA671E5" w14:textId="77777777" w:rsidTr="00DD72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52B2" w14:textId="2DE8629D" w:rsidR="008D2635" w:rsidRPr="00D45608" w:rsidRDefault="004D73F9" w:rsidP="004D73F9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34B5" w14:textId="77777777" w:rsidR="008D2635" w:rsidRPr="00D45608" w:rsidRDefault="008D2635" w:rsidP="00BD02D9">
            <w:pPr>
              <w:spacing w:after="0" w:line="240" w:lineRule="auto"/>
              <w:outlineLvl w:val="0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Разница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C684" w14:textId="77777777" w:rsidR="008D2635" w:rsidRPr="00D45608" w:rsidRDefault="008D2635" w:rsidP="008D2635">
            <w:pPr>
              <w:spacing w:after="0" w:line="240" w:lineRule="auto"/>
              <w:jc w:val="right"/>
              <w:outlineLvl w:val="0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89B9" w14:textId="5120D91D" w:rsidR="008D2635" w:rsidRPr="00D45608" w:rsidRDefault="008D2635" w:rsidP="008D2635">
            <w:pPr>
              <w:spacing w:after="0" w:line="240" w:lineRule="auto"/>
              <w:jc w:val="right"/>
              <w:outlineLvl w:val="0"/>
              <w:rPr>
                <w:rFonts w:ascii="Century Gothic" w:hAnsi="Century Gothic"/>
                <w:sz w:val="20"/>
              </w:rPr>
            </w:pPr>
          </w:p>
        </w:tc>
      </w:tr>
      <w:tr w:rsidR="00227280" w:rsidRPr="00D45608" w14:paraId="408F2CEE" w14:textId="77777777" w:rsidTr="00DD72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4969" w14:textId="471BEDC3" w:rsidR="00227280" w:rsidRPr="00D45608" w:rsidRDefault="004D73F9" w:rsidP="004D73F9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3EA6" w14:textId="24DAD9A0" w:rsidR="00227280" w:rsidRPr="00D45608" w:rsidRDefault="00227280" w:rsidP="00026C76">
            <w:pPr>
              <w:spacing w:after="0" w:line="240" w:lineRule="auto"/>
              <w:outlineLvl w:val="0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 xml:space="preserve">Расчет отчисления от дохода (Портфель) в размере 15% </w:t>
            </w:r>
            <w:r w:rsidR="00026C76">
              <w:rPr>
                <w:rFonts w:ascii="Century Gothic" w:hAnsi="Century Gothic"/>
                <w:sz w:val="20"/>
              </w:rPr>
              <w:t>в</w:t>
            </w:r>
            <w:r w:rsidR="00FF717C">
              <w:rPr>
                <w:rFonts w:ascii="Century Gothic" w:hAnsi="Century Gothic"/>
                <w:sz w:val="20"/>
              </w:rPr>
              <w:t xml:space="preserve"> </w:t>
            </w:r>
            <w:r w:rsidR="00026C76">
              <w:rPr>
                <w:rFonts w:ascii="Century Gothic" w:hAnsi="Century Gothic"/>
                <w:sz w:val="20"/>
              </w:rPr>
              <w:t>СС</w:t>
            </w:r>
            <w:r w:rsidRPr="00D45608">
              <w:rPr>
                <w:rFonts w:ascii="Century Gothic" w:hAnsi="Century Gothic"/>
                <w:sz w:val="20"/>
              </w:rPr>
              <w:t xml:space="preserve"> Фонда по итогам 20</w:t>
            </w:r>
            <w:r w:rsidR="007A380A">
              <w:rPr>
                <w:rFonts w:ascii="Century Gothic" w:hAnsi="Century Gothic"/>
                <w:sz w:val="20"/>
              </w:rPr>
              <w:t>21</w:t>
            </w:r>
            <w:r w:rsidRPr="00D45608">
              <w:rPr>
                <w:rFonts w:ascii="Century Gothic" w:hAnsi="Century Gothic"/>
                <w:sz w:val="20"/>
              </w:rPr>
              <w:t xml:space="preserve">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49BC" w14:textId="77777777" w:rsidR="00227280" w:rsidRPr="00D45608" w:rsidRDefault="00227280" w:rsidP="008D2635">
            <w:pPr>
              <w:spacing w:after="0" w:line="240" w:lineRule="auto"/>
              <w:jc w:val="right"/>
              <w:outlineLvl w:val="0"/>
              <w:rPr>
                <w:rFonts w:ascii="Century Gothic" w:hAnsi="Century Gothic"/>
                <w:sz w:val="20"/>
              </w:rPr>
            </w:pPr>
            <w:r w:rsidRPr="00D45608">
              <w:rPr>
                <w:rFonts w:ascii="Century Gothic" w:hAnsi="Century Gothic"/>
                <w:sz w:val="20"/>
              </w:rPr>
              <w:t>15%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8C90" w14:textId="74360127" w:rsidR="00227280" w:rsidRPr="00D45608" w:rsidRDefault="00227280" w:rsidP="008D2635">
            <w:pPr>
              <w:spacing w:after="0" w:line="240" w:lineRule="auto"/>
              <w:jc w:val="right"/>
              <w:outlineLvl w:val="0"/>
              <w:rPr>
                <w:rFonts w:ascii="Century Gothic" w:hAnsi="Century Gothic"/>
                <w:sz w:val="20"/>
              </w:rPr>
            </w:pPr>
          </w:p>
        </w:tc>
      </w:tr>
    </w:tbl>
    <w:p w14:paraId="4FBB7E47" w14:textId="77777777" w:rsidR="008D2635" w:rsidRDefault="008D2635" w:rsidP="000A260B">
      <w:pPr>
        <w:tabs>
          <w:tab w:val="left" w:pos="6816"/>
        </w:tabs>
        <w:spacing w:after="0"/>
        <w:ind w:left="360"/>
        <w:jc w:val="both"/>
        <w:rPr>
          <w:rFonts w:ascii="Century Gothic" w:hAnsi="Century Gothic"/>
          <w:b/>
          <w:sz w:val="20"/>
        </w:rPr>
      </w:pPr>
    </w:p>
    <w:p w14:paraId="56CC8DB5" w14:textId="77777777" w:rsidR="00762A92" w:rsidRPr="008D2635" w:rsidRDefault="00762A92" w:rsidP="000A260B">
      <w:pPr>
        <w:tabs>
          <w:tab w:val="left" w:pos="6816"/>
        </w:tabs>
        <w:spacing w:after="0"/>
        <w:ind w:left="360"/>
        <w:jc w:val="both"/>
        <w:rPr>
          <w:rFonts w:ascii="Century Gothic" w:hAnsi="Century Gothic"/>
          <w:b/>
          <w:sz w:val="20"/>
        </w:rPr>
      </w:pPr>
    </w:p>
    <w:p w14:paraId="66E83F22" w14:textId="77777777" w:rsidR="00062C21" w:rsidRPr="00D45608" w:rsidRDefault="00062C21" w:rsidP="00227280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Century Gothic" w:hAnsi="Century Gothic"/>
          <w:b/>
          <w:sz w:val="20"/>
        </w:rPr>
      </w:pPr>
      <w:r w:rsidRPr="00D45608">
        <w:rPr>
          <w:rFonts w:ascii="Century Gothic" w:hAnsi="Century Gothic"/>
          <w:b/>
          <w:sz w:val="20"/>
        </w:rPr>
        <w:t>Определение результатов инвестирования средств пенсионных накоплений, не включенных в резервы негосударственного пенсионного фонда, для отражения на пенсионном счете накопительной пенсии</w:t>
      </w:r>
      <w:r w:rsidR="00BD02D9">
        <w:rPr>
          <w:rFonts w:ascii="Century Gothic" w:hAnsi="Century Gothic"/>
          <w:b/>
          <w:sz w:val="20"/>
        </w:rPr>
        <w:t>.</w:t>
      </w:r>
    </w:p>
    <w:p w14:paraId="76CAF748" w14:textId="22DBBEC5" w:rsidR="00062C21" w:rsidRDefault="00062C21" w:rsidP="003D4E85">
      <w:pPr>
        <w:spacing w:before="120" w:after="0"/>
        <w:jc w:val="both"/>
        <w:rPr>
          <w:rFonts w:ascii="Century Gothic" w:hAnsi="Century Gothic"/>
          <w:sz w:val="18"/>
        </w:rPr>
      </w:pPr>
      <w:r w:rsidRPr="00062C21">
        <w:rPr>
          <w:rFonts w:ascii="Century Gothic" w:hAnsi="Century Gothic"/>
          <w:sz w:val="18"/>
        </w:rPr>
        <w:t>(Указание Банка России №</w:t>
      </w:r>
      <w:r w:rsidR="00BD02D9">
        <w:rPr>
          <w:rFonts w:ascii="Century Gothic" w:hAnsi="Century Gothic"/>
          <w:sz w:val="18"/>
        </w:rPr>
        <w:t> </w:t>
      </w:r>
      <w:r w:rsidRPr="00062C21">
        <w:rPr>
          <w:rFonts w:ascii="Century Gothic" w:hAnsi="Century Gothic"/>
          <w:sz w:val="18"/>
        </w:rPr>
        <w:t>4139-У от 23.09.201</w:t>
      </w:r>
      <w:r w:rsidR="0084468B">
        <w:rPr>
          <w:rFonts w:ascii="Century Gothic" w:hAnsi="Century Gothic"/>
          <w:sz w:val="18"/>
        </w:rPr>
        <w:t>6</w:t>
      </w:r>
      <w:r w:rsidRPr="00062C21">
        <w:rPr>
          <w:rFonts w:ascii="Century Gothic" w:hAnsi="Century Gothic"/>
          <w:sz w:val="18"/>
        </w:rPr>
        <w:t>г.</w:t>
      </w:r>
      <w:r w:rsidR="0084468B" w:rsidRPr="0084468B">
        <w:t xml:space="preserve"> </w:t>
      </w:r>
      <w:r w:rsidR="0084468B" w:rsidRPr="0084468B">
        <w:rPr>
          <w:rFonts w:ascii="Century Gothic" w:hAnsi="Century Gothic"/>
          <w:sz w:val="18"/>
        </w:rPr>
        <w:t>"О порядке расчета результатов инвестирования средств пенсионных накоплений, не включенных в резервы негосударственного пенсионного фонда, для отражения на пенсионном счете накопительной пенсии"</w:t>
      </w:r>
      <w:r w:rsidRPr="00062C21">
        <w:rPr>
          <w:rFonts w:ascii="Century Gothic" w:hAnsi="Century Gothic"/>
          <w:sz w:val="18"/>
        </w:rPr>
        <w:t>)</w:t>
      </w:r>
    </w:p>
    <w:p w14:paraId="0438EABF" w14:textId="77777777" w:rsidR="00B34919" w:rsidRDefault="00B34919" w:rsidP="003D4E85">
      <w:pPr>
        <w:spacing w:before="120" w:after="0"/>
        <w:jc w:val="both"/>
        <w:rPr>
          <w:rFonts w:ascii="Century Gothic" w:hAnsi="Century Gothic"/>
          <w:sz w:val="18"/>
        </w:rPr>
      </w:pPr>
    </w:p>
    <w:p w14:paraId="65732212" w14:textId="35134062" w:rsidR="0081681F" w:rsidRPr="00B34919" w:rsidRDefault="0081681F" w:rsidP="0081681F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3.1. Результат инвестирования средств пенсионных накоплений за расчетный период (</w:t>
      </w:r>
      <w:proofErr w:type="spellStart"/>
      <w:r w:rsidRPr="00B34919">
        <w:rPr>
          <w:rFonts w:ascii="Century Gothic" w:hAnsi="Century Gothic"/>
          <w:sz w:val="20"/>
          <w:szCs w:val="20"/>
        </w:rPr>
        <w:t>RESk</w:t>
      </w:r>
      <w:proofErr w:type="spellEnd"/>
      <w:r w:rsidRPr="00B34919">
        <w:rPr>
          <w:rFonts w:ascii="Century Gothic" w:hAnsi="Century Gothic"/>
          <w:sz w:val="20"/>
          <w:szCs w:val="20"/>
        </w:rPr>
        <w:t>) рассчитывается с точностью до копеек по формуле:</w:t>
      </w:r>
    </w:p>
    <w:p w14:paraId="45451AAF" w14:textId="0F4173A1" w:rsidR="0081681F" w:rsidRPr="00B34919" w:rsidRDefault="0081681F" w:rsidP="0081681F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31FA2BE8" wp14:editId="5A5BCFD8">
            <wp:extent cx="2265680" cy="273050"/>
            <wp:effectExtent l="0" t="0" r="1270" b="0"/>
            <wp:docPr id="3" name="Рисунок 3" descr="base_1_3098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09830_3276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19">
        <w:rPr>
          <w:rFonts w:ascii="Century Gothic" w:hAnsi="Century Gothic"/>
          <w:sz w:val="20"/>
          <w:szCs w:val="20"/>
        </w:rPr>
        <w:t>,</w:t>
      </w:r>
    </w:p>
    <w:p w14:paraId="1390F9CD" w14:textId="77777777" w:rsidR="0081681F" w:rsidRPr="00B34919" w:rsidRDefault="0081681F" w:rsidP="0081681F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где:</w:t>
      </w:r>
    </w:p>
    <w:p w14:paraId="3BCBF57B" w14:textId="77777777" w:rsidR="0081681F" w:rsidRPr="00B34919" w:rsidRDefault="0081681F" w:rsidP="0081681F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k - порядковый номер расчетного периода;</w:t>
      </w:r>
    </w:p>
    <w:p w14:paraId="0B47BEE6" w14:textId="77777777" w:rsidR="000038B3" w:rsidRPr="00B34919" w:rsidRDefault="000038B3" w:rsidP="000038B3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lastRenderedPageBreak/>
        <w:t>Lk-1 - средства пенсионных накоплений, отраженные на пенсионных счетах накопительной пенсии застрахованных лиц по состоянию на последний день расчетного периода, предшествующего расчетному периоду k;</w:t>
      </w:r>
    </w:p>
    <w:p w14:paraId="5A73335A" w14:textId="77777777" w:rsidR="000038B3" w:rsidRPr="00B34919" w:rsidRDefault="000038B3" w:rsidP="000038B3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t - порядковый номер дня в расчетном периоде;</w:t>
      </w:r>
    </w:p>
    <w:p w14:paraId="1085ED92" w14:textId="2454E850" w:rsidR="000038B3" w:rsidRPr="00B34919" w:rsidRDefault="000038B3" w:rsidP="000038B3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proofErr w:type="spellStart"/>
      <w:r w:rsidRPr="00B34919">
        <w:rPr>
          <w:rFonts w:ascii="Century Gothic" w:hAnsi="Century Gothic"/>
          <w:sz w:val="20"/>
          <w:szCs w:val="20"/>
        </w:rPr>
        <w:t>Ft</w:t>
      </w:r>
      <w:proofErr w:type="spellEnd"/>
      <w:r w:rsidRPr="00B34919">
        <w:rPr>
          <w:rFonts w:ascii="Century Gothic" w:hAnsi="Century Gothic"/>
          <w:sz w:val="20"/>
          <w:szCs w:val="20"/>
        </w:rPr>
        <w:t xml:space="preserve"> - денежный поток в день t расчетного периода k, равный сумме средств пенсионных накоплений, поступивших в день t в расчетный портфель, за вычетом суммы средств пенсионных накоплений, выбывших в день t из расчетного портфеля. В расчет показателя </w:t>
      </w:r>
      <w:proofErr w:type="spellStart"/>
      <w:r w:rsidRPr="00B34919">
        <w:rPr>
          <w:rFonts w:ascii="Century Gothic" w:hAnsi="Century Gothic"/>
          <w:sz w:val="20"/>
          <w:szCs w:val="20"/>
        </w:rPr>
        <w:t>Ft</w:t>
      </w:r>
      <w:proofErr w:type="spellEnd"/>
      <w:r w:rsidRPr="00B34919">
        <w:rPr>
          <w:rFonts w:ascii="Century Gothic" w:hAnsi="Century Gothic"/>
          <w:sz w:val="20"/>
          <w:szCs w:val="20"/>
        </w:rPr>
        <w:t xml:space="preserve"> не включаются суммы оплаты (возмещения) НРУК </w:t>
      </w:r>
      <w:proofErr w:type="gramStart"/>
      <w:r w:rsidRPr="00B34919">
        <w:rPr>
          <w:rFonts w:ascii="Century Gothic" w:hAnsi="Century Gothic"/>
          <w:sz w:val="20"/>
          <w:szCs w:val="20"/>
        </w:rPr>
        <w:t>и  вознаграждения</w:t>
      </w:r>
      <w:proofErr w:type="gramEnd"/>
      <w:r w:rsidRPr="00B34919">
        <w:rPr>
          <w:rFonts w:ascii="Century Gothic" w:hAnsi="Century Gothic"/>
          <w:sz w:val="20"/>
          <w:szCs w:val="20"/>
        </w:rPr>
        <w:t xml:space="preserve"> фонда.</w:t>
      </w:r>
    </w:p>
    <w:p w14:paraId="7B7C4538" w14:textId="7CF7C6C3" w:rsidR="000038B3" w:rsidRPr="00B34919" w:rsidRDefault="000038B3" w:rsidP="000038B3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T - число дней в расчетном периоде k.</w:t>
      </w:r>
    </w:p>
    <w:p w14:paraId="1A953884" w14:textId="03F174F0" w:rsidR="0081681F" w:rsidRPr="00B34919" w:rsidRDefault="0081681F" w:rsidP="0081681F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3.2.</w:t>
      </w:r>
      <w:r w:rsidRPr="00B34919">
        <w:rPr>
          <w:rFonts w:ascii="Century Gothic" w:hAnsi="Century Gothic"/>
          <w:sz w:val="20"/>
          <w:szCs w:val="20"/>
        </w:rPr>
        <w:tab/>
        <w:t xml:space="preserve">Расчет показателя стоимости активов, сформированных за счет средств пенсионных накоплений (показатель </w:t>
      </w:r>
      <w:proofErr w:type="spellStart"/>
      <w:r w:rsidRPr="00B34919">
        <w:rPr>
          <w:rFonts w:ascii="Century Gothic" w:hAnsi="Century Gothic"/>
          <w:sz w:val="20"/>
          <w:szCs w:val="20"/>
        </w:rPr>
        <w:t>Vk</w:t>
      </w:r>
      <w:proofErr w:type="spellEnd"/>
      <w:r w:rsidRPr="00B34919">
        <w:rPr>
          <w:rFonts w:ascii="Century Gothic" w:hAnsi="Century Gothic"/>
          <w:sz w:val="20"/>
          <w:szCs w:val="20"/>
        </w:rPr>
        <w:t>), должен соответствовать порядку, использованному при расчете дохода от инвестирования согласно Указанию № 4881-У от 23.08.2018г. и включать в себя дебиторскую/кредиторскую задолженность по пенсионным выплатам</w:t>
      </w:r>
      <w:r w:rsidR="00B34919" w:rsidRPr="00B34919">
        <w:rPr>
          <w:rFonts w:ascii="Century Gothic" w:hAnsi="Century Gothic"/>
          <w:sz w:val="20"/>
          <w:szCs w:val="20"/>
        </w:rPr>
        <w:t>.</w:t>
      </w:r>
    </w:p>
    <w:p w14:paraId="1CDD4FE8" w14:textId="7AE738C2" w:rsidR="0081681F" w:rsidRPr="00B34919" w:rsidRDefault="0081681F" w:rsidP="0081681F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 xml:space="preserve">3.3. </w:t>
      </w:r>
      <w:proofErr w:type="spellStart"/>
      <w:r w:rsidRPr="00B34919">
        <w:rPr>
          <w:rFonts w:ascii="Century Gothic" w:hAnsi="Century Gothic"/>
          <w:sz w:val="20"/>
          <w:szCs w:val="20"/>
        </w:rPr>
        <w:t>EXk</w:t>
      </w:r>
      <w:proofErr w:type="spellEnd"/>
      <w:r w:rsidRPr="00B34919">
        <w:rPr>
          <w:rFonts w:ascii="Century Gothic" w:hAnsi="Century Gothic"/>
          <w:sz w:val="20"/>
          <w:szCs w:val="20"/>
        </w:rPr>
        <w:t xml:space="preserve"> - сумма </w:t>
      </w:r>
      <w:r w:rsidR="00B34919" w:rsidRPr="00B34919">
        <w:rPr>
          <w:rFonts w:ascii="Century Gothic" w:hAnsi="Century Gothic"/>
          <w:sz w:val="20"/>
          <w:szCs w:val="20"/>
        </w:rPr>
        <w:t xml:space="preserve">следующих </w:t>
      </w:r>
      <w:r w:rsidRPr="00B34919">
        <w:rPr>
          <w:rFonts w:ascii="Century Gothic" w:hAnsi="Century Gothic"/>
          <w:sz w:val="20"/>
          <w:szCs w:val="20"/>
        </w:rPr>
        <w:t>величин в части, не выведенной из расчетного портфеля в расчетном периоде k и подлежащей оплате (возмещению) за счет активов, составляющих расчетный портфель:</w:t>
      </w:r>
    </w:p>
    <w:p w14:paraId="07EB4657" w14:textId="6D8B23CB" w:rsidR="0081681F" w:rsidRPr="00B34919" w:rsidRDefault="0081681F" w:rsidP="00B34919">
      <w:pPr>
        <w:pStyle w:val="a3"/>
        <w:numPr>
          <w:ilvl w:val="0"/>
          <w:numId w:val="13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размер НРУК за расчетный период k;</w:t>
      </w:r>
    </w:p>
    <w:p w14:paraId="1025A625" w14:textId="083414D3" w:rsidR="0081681F" w:rsidRPr="00B34919" w:rsidRDefault="0081681F" w:rsidP="00B34919">
      <w:pPr>
        <w:pStyle w:val="a3"/>
        <w:numPr>
          <w:ilvl w:val="0"/>
          <w:numId w:val="13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 xml:space="preserve">величины вознаграждения фонда за расчетный период k. </w:t>
      </w:r>
    </w:p>
    <w:p w14:paraId="1FC6C067" w14:textId="3CFC3655" w:rsidR="0081681F" w:rsidRPr="00B34919" w:rsidRDefault="0081681F" w:rsidP="0081681F">
      <w:p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 xml:space="preserve">Величина вознаграждения фонда (в составе показателя </w:t>
      </w:r>
      <w:proofErr w:type="spellStart"/>
      <w:r w:rsidRPr="00B34919">
        <w:rPr>
          <w:rFonts w:ascii="Century Gothic" w:hAnsi="Century Gothic"/>
          <w:sz w:val="20"/>
          <w:szCs w:val="20"/>
        </w:rPr>
        <w:t>EXk</w:t>
      </w:r>
      <w:proofErr w:type="spellEnd"/>
      <w:r w:rsidRPr="00B34919">
        <w:rPr>
          <w:rFonts w:ascii="Century Gothic" w:hAnsi="Century Gothic"/>
          <w:sz w:val="20"/>
          <w:szCs w:val="20"/>
        </w:rPr>
        <w:t>) включает в себя:</w:t>
      </w:r>
    </w:p>
    <w:p w14:paraId="0EA8638D" w14:textId="77777777" w:rsidR="00B34919" w:rsidRPr="00B34919" w:rsidRDefault="0081681F" w:rsidP="0081681F">
      <w:pPr>
        <w:pStyle w:val="a3"/>
        <w:numPr>
          <w:ilvl w:val="0"/>
          <w:numId w:val="14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задолженность по перечислению постоянной части вознаграждения за отчетный год в части, не перечисленной на расчетный счет фонда, предназначенный для учета собственных средств, в течение отчетного года;</w:t>
      </w:r>
    </w:p>
    <w:p w14:paraId="675BB345" w14:textId="6CFFCDB8" w:rsidR="0081681F" w:rsidRPr="00B34919" w:rsidRDefault="0081681F" w:rsidP="0081681F">
      <w:pPr>
        <w:pStyle w:val="a3"/>
        <w:numPr>
          <w:ilvl w:val="0"/>
          <w:numId w:val="14"/>
        </w:numPr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задолженность по перечислению переменной части вознаграждения, рассчитанной как процент от положительного результата инвестирования средств пенсионных накоплений, не включенных в резервы фонда (с учетом ограничений ст. 27 закона № 75-ФЗ).</w:t>
      </w:r>
    </w:p>
    <w:p w14:paraId="550E8A13" w14:textId="3F8078A6" w:rsidR="00733BE5" w:rsidRPr="00B34919" w:rsidRDefault="00990A51" w:rsidP="000038B3">
      <w:pPr>
        <w:pStyle w:val="a3"/>
        <w:numPr>
          <w:ilvl w:val="1"/>
          <w:numId w:val="11"/>
        </w:numPr>
        <w:spacing w:before="120" w:after="0"/>
        <w:ind w:left="0" w:firstLine="0"/>
        <w:jc w:val="both"/>
        <w:rPr>
          <w:rFonts w:ascii="Century Gothic" w:hAnsi="Century Gothic"/>
          <w:sz w:val="20"/>
          <w:szCs w:val="20"/>
        </w:rPr>
      </w:pPr>
      <w:r w:rsidRPr="00B34919">
        <w:rPr>
          <w:rFonts w:ascii="Century Gothic" w:hAnsi="Century Gothic"/>
          <w:sz w:val="20"/>
          <w:szCs w:val="20"/>
        </w:rPr>
        <w:t>Результат инвестирования средств пенсионных накоплений за расчетный период (</w:t>
      </w:r>
      <w:proofErr w:type="spellStart"/>
      <w:r w:rsidRPr="00B34919">
        <w:rPr>
          <w:rFonts w:ascii="Century Gothic" w:hAnsi="Century Gothic"/>
          <w:sz w:val="20"/>
          <w:szCs w:val="20"/>
        </w:rPr>
        <w:t>RES</w:t>
      </w:r>
      <w:r w:rsidRPr="00B34919">
        <w:rPr>
          <w:rFonts w:ascii="Century Gothic" w:hAnsi="Century Gothic"/>
          <w:sz w:val="20"/>
          <w:szCs w:val="20"/>
          <w:vertAlign w:val="subscript"/>
        </w:rPr>
        <w:t>k</w:t>
      </w:r>
      <w:proofErr w:type="spellEnd"/>
      <w:r w:rsidRPr="00B34919">
        <w:rPr>
          <w:rFonts w:ascii="Century Gothic" w:hAnsi="Century Gothic"/>
          <w:sz w:val="20"/>
          <w:szCs w:val="20"/>
        </w:rPr>
        <w:t>)</w:t>
      </w:r>
      <w:r w:rsidR="005A3C8E" w:rsidRPr="00B34919">
        <w:rPr>
          <w:rFonts w:ascii="Century Gothic" w:hAnsi="Century Gothic"/>
          <w:sz w:val="20"/>
          <w:szCs w:val="20"/>
        </w:rPr>
        <w:t>, скорректированный на задолженность по перечислению переменной части вознаграждения, должен соответствовать результату инвестирования, сформированному в бухгалтерском учете фонда.</w:t>
      </w:r>
    </w:p>
    <w:p w14:paraId="29D3E78D" w14:textId="77777777" w:rsidR="00227280" w:rsidRPr="00B34919" w:rsidRDefault="0022728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84E2E71" w14:textId="77777777" w:rsidR="0084468B" w:rsidRPr="00B34919" w:rsidRDefault="0084468B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A58A5C8" w14:textId="77777777" w:rsidR="0084468B" w:rsidRDefault="0084468B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06534B2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5A33F45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2BF1329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74ECCA3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50D3A4B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782281D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749A458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F32AC91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6132666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7B4C3F0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CCDA075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7919347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6CBDE6B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6205742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1C05525" w14:textId="77777777" w:rsidR="00762A92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A8F41EF" w14:textId="77777777" w:rsidR="00762A92" w:rsidRPr="00B34919" w:rsidRDefault="00762A9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BDB2F26" w14:textId="77777777" w:rsidR="0084468B" w:rsidRDefault="0084468B">
      <w:pPr>
        <w:spacing w:after="0"/>
        <w:jc w:val="both"/>
        <w:rPr>
          <w:rFonts w:ascii="Century Gothic" w:hAnsi="Century Gothic"/>
          <w:sz w:val="20"/>
        </w:rPr>
      </w:pPr>
    </w:p>
    <w:p w14:paraId="4166CE3C" w14:textId="24E15155" w:rsidR="003D4E85" w:rsidRPr="00B34919" w:rsidRDefault="003D4E85" w:rsidP="00B34919">
      <w:pPr>
        <w:pStyle w:val="a3"/>
        <w:numPr>
          <w:ilvl w:val="0"/>
          <w:numId w:val="11"/>
        </w:numPr>
        <w:spacing w:after="0"/>
        <w:jc w:val="both"/>
        <w:rPr>
          <w:rFonts w:ascii="Century Gothic" w:hAnsi="Century Gothic"/>
          <w:b/>
          <w:sz w:val="20"/>
        </w:rPr>
      </w:pPr>
      <w:r w:rsidRPr="00B34919">
        <w:rPr>
          <w:rFonts w:ascii="Century Gothic" w:hAnsi="Century Gothic"/>
          <w:b/>
          <w:sz w:val="20"/>
        </w:rPr>
        <w:t>Схема распределения инвестиционного дохода</w:t>
      </w:r>
    </w:p>
    <w:p w14:paraId="2002AE9D" w14:textId="77777777" w:rsidR="003D4E85" w:rsidRDefault="003D4E85">
      <w:pPr>
        <w:spacing w:after="0"/>
        <w:jc w:val="both"/>
        <w:rPr>
          <w:rFonts w:ascii="Century Gothic" w:hAnsi="Century Gothic"/>
          <w:sz w:val="20"/>
        </w:rPr>
      </w:pPr>
    </w:p>
    <w:p w14:paraId="21F17635" w14:textId="09FC21F5" w:rsidR="003D4E85" w:rsidRDefault="00EF1D86">
      <w:pPr>
        <w:spacing w:after="0"/>
        <w:jc w:val="both"/>
        <w:rPr>
          <w:rFonts w:ascii="Century Gothic" w:hAnsi="Century Gothic"/>
          <w:sz w:val="20"/>
        </w:rPr>
      </w:pPr>
      <w:bookmarkStart w:id="1" w:name="_MON_1704099997"/>
      <w:bookmarkEnd w:id="1"/>
      <w:r>
        <w:rPr>
          <w:rFonts w:ascii="Century Gothic" w:hAnsi="Century Gothic"/>
          <w:sz w:val="20"/>
        </w:rPr>
        <w:pict w14:anchorId="54E378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5.25pt;height:562.5pt">
            <v:imagedata r:id="rId14" o:title=""/>
          </v:shape>
        </w:pict>
      </w:r>
    </w:p>
    <w:p w14:paraId="4750996F" w14:textId="77777777" w:rsidR="007F7199" w:rsidRDefault="007F7199">
      <w:pPr>
        <w:spacing w:after="0"/>
        <w:jc w:val="both"/>
        <w:rPr>
          <w:rFonts w:ascii="Century Gothic" w:hAnsi="Century Gothic"/>
          <w:sz w:val="20"/>
        </w:rPr>
      </w:pPr>
    </w:p>
    <w:sectPr w:rsidR="007F7199" w:rsidSect="00D456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5F1FC" w14:textId="77777777" w:rsidR="00A062C9" w:rsidRDefault="00A062C9" w:rsidP="00FD2D42">
      <w:pPr>
        <w:spacing w:after="0" w:line="240" w:lineRule="auto"/>
      </w:pPr>
      <w:r>
        <w:separator/>
      </w:r>
    </w:p>
  </w:endnote>
  <w:endnote w:type="continuationSeparator" w:id="0">
    <w:p w14:paraId="04D66216" w14:textId="77777777" w:rsidR="00A062C9" w:rsidRDefault="00A062C9" w:rsidP="00FD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BE534" w14:textId="77777777" w:rsidR="00A062C9" w:rsidRDefault="00A062C9" w:rsidP="00FD2D42">
      <w:pPr>
        <w:spacing w:after="0" w:line="240" w:lineRule="auto"/>
      </w:pPr>
      <w:r>
        <w:separator/>
      </w:r>
    </w:p>
  </w:footnote>
  <w:footnote w:type="continuationSeparator" w:id="0">
    <w:p w14:paraId="620FE59D" w14:textId="77777777" w:rsidR="00A062C9" w:rsidRDefault="00A062C9" w:rsidP="00FD2D42">
      <w:pPr>
        <w:spacing w:after="0" w:line="240" w:lineRule="auto"/>
      </w:pPr>
      <w:r>
        <w:continuationSeparator/>
      </w:r>
    </w:p>
  </w:footnote>
  <w:footnote w:id="1">
    <w:p w14:paraId="7ED8AA2D" w14:textId="553BFC71" w:rsidR="00FD2D42" w:rsidRPr="00076170" w:rsidRDefault="00FD2D42" w:rsidP="00076170">
      <w:pPr>
        <w:pStyle w:val="a4"/>
        <w:jc w:val="both"/>
        <w:rPr>
          <w:rFonts w:ascii="Century Gothic" w:hAnsi="Century Gothic"/>
          <w:sz w:val="14"/>
        </w:rPr>
      </w:pPr>
      <w:r>
        <w:rPr>
          <w:rStyle w:val="a6"/>
        </w:rPr>
        <w:footnoteRef/>
      </w:r>
      <w:r>
        <w:t xml:space="preserve"> </w:t>
      </w:r>
      <w:r w:rsidR="00567BF8" w:rsidRPr="00076170">
        <w:rPr>
          <w:rFonts w:ascii="Century Gothic" w:hAnsi="Century Gothic"/>
          <w:sz w:val="14"/>
        </w:rPr>
        <w:t xml:space="preserve">п.46 </w:t>
      </w:r>
      <w:r w:rsidR="00FF717C">
        <w:rPr>
          <w:rFonts w:ascii="Century Gothic" w:hAnsi="Century Gothic"/>
          <w:sz w:val="14"/>
        </w:rPr>
        <w:t>«</w:t>
      </w:r>
      <w:r w:rsidR="00567BF8" w:rsidRPr="00076170">
        <w:rPr>
          <w:rFonts w:ascii="Century Gothic" w:hAnsi="Century Gothic"/>
          <w:sz w:val="14"/>
        </w:rPr>
        <w:t>Международный стандарт финансовой отчетности (IFRS) 15. Выручка по договорам с покупателями</w:t>
      </w:r>
      <w:r w:rsidR="00FF717C">
        <w:rPr>
          <w:rFonts w:ascii="Century Gothic" w:hAnsi="Century Gothic"/>
          <w:sz w:val="14"/>
        </w:rPr>
        <w:t>»</w:t>
      </w:r>
      <w:r w:rsidR="00567BF8" w:rsidRPr="00076170">
        <w:rPr>
          <w:rFonts w:ascii="Century Gothic" w:hAnsi="Century Gothic"/>
          <w:sz w:val="14"/>
        </w:rPr>
        <w:t xml:space="preserve"> (введен в действие на территории Российской Федерации Приказом Минфина России от 27.06.2016 N 98н) </w:t>
      </w:r>
    </w:p>
  </w:footnote>
  <w:footnote w:id="2">
    <w:p w14:paraId="6FD33A98" w14:textId="4AAB39E9" w:rsidR="00582FE3" w:rsidRDefault="00582FE3" w:rsidP="00EF1821">
      <w:pPr>
        <w:pStyle w:val="a4"/>
        <w:jc w:val="both"/>
      </w:pPr>
      <w:r>
        <w:rPr>
          <w:rStyle w:val="a6"/>
        </w:rPr>
        <w:footnoteRef/>
      </w:r>
      <w:r>
        <w:t xml:space="preserve"> Указание </w:t>
      </w:r>
      <w:r w:rsidR="00C4554E">
        <w:t>№</w:t>
      </w:r>
      <w:r>
        <w:t>5</w:t>
      </w:r>
      <w:r w:rsidR="00EF1D86">
        <w:t>804</w:t>
      </w:r>
      <w:r>
        <w:t>-У</w:t>
      </w:r>
      <w:r w:rsidRPr="00582FE3">
        <w:t xml:space="preserve"> вступает в силу с 1 января 2022 года и применяется</w:t>
      </w:r>
      <w:r>
        <w:t>,</w:t>
      </w:r>
      <w:r w:rsidRPr="00582FE3">
        <w:t xml:space="preserve"> начиная с определения размера ежегодных отчислений в резерв </w:t>
      </w:r>
      <w:r w:rsidR="00EF1D86">
        <w:t xml:space="preserve">по обязательному пенсионному страхованию </w:t>
      </w:r>
      <w:bookmarkStart w:id="0" w:name="_GoBack"/>
      <w:bookmarkEnd w:id="0"/>
      <w:r w:rsidRPr="00582FE3">
        <w:t>и исчисления гарантийных взносов в фонд гарантирования пенсионных накоплений за 2021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3A5"/>
    <w:multiLevelType w:val="hybridMultilevel"/>
    <w:tmpl w:val="AEB4D1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2788DB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55571"/>
    <w:multiLevelType w:val="hybridMultilevel"/>
    <w:tmpl w:val="DA1A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447B"/>
    <w:multiLevelType w:val="hybridMultilevel"/>
    <w:tmpl w:val="A21CB7E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78602E6"/>
    <w:multiLevelType w:val="multilevel"/>
    <w:tmpl w:val="CD4ED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0A1605"/>
    <w:multiLevelType w:val="multilevel"/>
    <w:tmpl w:val="08BA2792"/>
    <w:lvl w:ilvl="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1800"/>
      </w:pPr>
      <w:rPr>
        <w:rFonts w:hint="default"/>
      </w:rPr>
    </w:lvl>
  </w:abstractNum>
  <w:abstractNum w:abstractNumId="5" w15:restartNumberingAfterBreak="0">
    <w:nsid w:val="3EA05025"/>
    <w:multiLevelType w:val="multilevel"/>
    <w:tmpl w:val="DA405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610B22"/>
    <w:multiLevelType w:val="hybridMultilevel"/>
    <w:tmpl w:val="DA1A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C2F34"/>
    <w:multiLevelType w:val="hybridMultilevel"/>
    <w:tmpl w:val="157CA700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5577112C"/>
    <w:multiLevelType w:val="hybridMultilevel"/>
    <w:tmpl w:val="F25AF1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060315"/>
    <w:multiLevelType w:val="multilevel"/>
    <w:tmpl w:val="F252B58A"/>
    <w:lvl w:ilvl="0">
      <w:start w:val="3"/>
      <w:numFmt w:val="decimal"/>
      <w:pStyle w:val="11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0" w15:restartNumberingAfterBreak="0">
    <w:nsid w:val="6DF06AC5"/>
    <w:multiLevelType w:val="hybridMultilevel"/>
    <w:tmpl w:val="873E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B4A46"/>
    <w:multiLevelType w:val="multilevel"/>
    <w:tmpl w:val="96C45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48"/>
    <w:rsid w:val="000038B3"/>
    <w:rsid w:val="000077DA"/>
    <w:rsid w:val="00010B73"/>
    <w:rsid w:val="0001164B"/>
    <w:rsid w:val="00026C76"/>
    <w:rsid w:val="00031466"/>
    <w:rsid w:val="00043DD1"/>
    <w:rsid w:val="000574F0"/>
    <w:rsid w:val="00062C21"/>
    <w:rsid w:val="00063EC6"/>
    <w:rsid w:val="00076170"/>
    <w:rsid w:val="00080A1E"/>
    <w:rsid w:val="00081FE5"/>
    <w:rsid w:val="000A0474"/>
    <w:rsid w:val="000A260B"/>
    <w:rsid w:val="000E271E"/>
    <w:rsid w:val="0012033F"/>
    <w:rsid w:val="0013268E"/>
    <w:rsid w:val="00173227"/>
    <w:rsid w:val="001D6620"/>
    <w:rsid w:val="001E47A1"/>
    <w:rsid w:val="00217965"/>
    <w:rsid w:val="00224CC8"/>
    <w:rsid w:val="00227280"/>
    <w:rsid w:val="00236718"/>
    <w:rsid w:val="002445E6"/>
    <w:rsid w:val="00255E9D"/>
    <w:rsid w:val="002B7602"/>
    <w:rsid w:val="002C2006"/>
    <w:rsid w:val="002F7DB2"/>
    <w:rsid w:val="00350448"/>
    <w:rsid w:val="00352EF4"/>
    <w:rsid w:val="00361E65"/>
    <w:rsid w:val="00362112"/>
    <w:rsid w:val="0037456D"/>
    <w:rsid w:val="003800D9"/>
    <w:rsid w:val="00393601"/>
    <w:rsid w:val="003B2DD1"/>
    <w:rsid w:val="003D00C6"/>
    <w:rsid w:val="003D4E85"/>
    <w:rsid w:val="003E326F"/>
    <w:rsid w:val="003E51D8"/>
    <w:rsid w:val="00414F2A"/>
    <w:rsid w:val="0042265F"/>
    <w:rsid w:val="00477A91"/>
    <w:rsid w:val="004D73F9"/>
    <w:rsid w:val="004E1AE9"/>
    <w:rsid w:val="00510D68"/>
    <w:rsid w:val="0051100D"/>
    <w:rsid w:val="00515B8F"/>
    <w:rsid w:val="00523296"/>
    <w:rsid w:val="00531F4C"/>
    <w:rsid w:val="0053432E"/>
    <w:rsid w:val="00567BF8"/>
    <w:rsid w:val="00582FE3"/>
    <w:rsid w:val="00597402"/>
    <w:rsid w:val="005A3C8E"/>
    <w:rsid w:val="005A53D6"/>
    <w:rsid w:val="005B3A0F"/>
    <w:rsid w:val="005E5B76"/>
    <w:rsid w:val="005F6747"/>
    <w:rsid w:val="00624742"/>
    <w:rsid w:val="00630FD9"/>
    <w:rsid w:val="006318D5"/>
    <w:rsid w:val="0064682B"/>
    <w:rsid w:val="006741F0"/>
    <w:rsid w:val="006B71DC"/>
    <w:rsid w:val="006E5F41"/>
    <w:rsid w:val="007033D9"/>
    <w:rsid w:val="00733BE5"/>
    <w:rsid w:val="00762A92"/>
    <w:rsid w:val="00767049"/>
    <w:rsid w:val="00767594"/>
    <w:rsid w:val="007749E7"/>
    <w:rsid w:val="007756BF"/>
    <w:rsid w:val="00781AB1"/>
    <w:rsid w:val="00797F7D"/>
    <w:rsid w:val="007A380A"/>
    <w:rsid w:val="007E27D5"/>
    <w:rsid w:val="007F14F2"/>
    <w:rsid w:val="007F2E77"/>
    <w:rsid w:val="007F7199"/>
    <w:rsid w:val="0081681F"/>
    <w:rsid w:val="008270DE"/>
    <w:rsid w:val="0084468B"/>
    <w:rsid w:val="00865678"/>
    <w:rsid w:val="008C4F7D"/>
    <w:rsid w:val="008D2635"/>
    <w:rsid w:val="008D371E"/>
    <w:rsid w:val="0092666A"/>
    <w:rsid w:val="00963B55"/>
    <w:rsid w:val="00976EB8"/>
    <w:rsid w:val="00982BFD"/>
    <w:rsid w:val="009843F7"/>
    <w:rsid w:val="00990A51"/>
    <w:rsid w:val="009C4A0F"/>
    <w:rsid w:val="00A0259D"/>
    <w:rsid w:val="00A048B4"/>
    <w:rsid w:val="00A062C9"/>
    <w:rsid w:val="00A3224B"/>
    <w:rsid w:val="00A531A4"/>
    <w:rsid w:val="00A81672"/>
    <w:rsid w:val="00AB27CE"/>
    <w:rsid w:val="00AC25F8"/>
    <w:rsid w:val="00AD5CBB"/>
    <w:rsid w:val="00AE26F7"/>
    <w:rsid w:val="00AE3173"/>
    <w:rsid w:val="00AE4EC1"/>
    <w:rsid w:val="00B34919"/>
    <w:rsid w:val="00B34A1D"/>
    <w:rsid w:val="00B44FAB"/>
    <w:rsid w:val="00B4589E"/>
    <w:rsid w:val="00BB758A"/>
    <w:rsid w:val="00BD02D9"/>
    <w:rsid w:val="00C05873"/>
    <w:rsid w:val="00C06F90"/>
    <w:rsid w:val="00C102C2"/>
    <w:rsid w:val="00C246C4"/>
    <w:rsid w:val="00C4554E"/>
    <w:rsid w:val="00C57E8A"/>
    <w:rsid w:val="00C61E1F"/>
    <w:rsid w:val="00C83862"/>
    <w:rsid w:val="00CA3E07"/>
    <w:rsid w:val="00CA7680"/>
    <w:rsid w:val="00CB5408"/>
    <w:rsid w:val="00CD008F"/>
    <w:rsid w:val="00D105BA"/>
    <w:rsid w:val="00D12757"/>
    <w:rsid w:val="00D356BA"/>
    <w:rsid w:val="00D45608"/>
    <w:rsid w:val="00D701A0"/>
    <w:rsid w:val="00D97F78"/>
    <w:rsid w:val="00DB6BB8"/>
    <w:rsid w:val="00DD721B"/>
    <w:rsid w:val="00DF1A16"/>
    <w:rsid w:val="00DF642E"/>
    <w:rsid w:val="00DF7E9C"/>
    <w:rsid w:val="00E008AE"/>
    <w:rsid w:val="00E042EB"/>
    <w:rsid w:val="00E1668D"/>
    <w:rsid w:val="00E349C1"/>
    <w:rsid w:val="00E7008D"/>
    <w:rsid w:val="00EA2D92"/>
    <w:rsid w:val="00EB268D"/>
    <w:rsid w:val="00EE3F03"/>
    <w:rsid w:val="00EE40A6"/>
    <w:rsid w:val="00EF1821"/>
    <w:rsid w:val="00EF1D86"/>
    <w:rsid w:val="00F049FC"/>
    <w:rsid w:val="00F32B4C"/>
    <w:rsid w:val="00F33F0E"/>
    <w:rsid w:val="00F47302"/>
    <w:rsid w:val="00F475CF"/>
    <w:rsid w:val="00F47748"/>
    <w:rsid w:val="00F52571"/>
    <w:rsid w:val="00F52FA6"/>
    <w:rsid w:val="00F900CD"/>
    <w:rsid w:val="00F92A1E"/>
    <w:rsid w:val="00FD2D42"/>
    <w:rsid w:val="00FF7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ED75"/>
  <w15:docId w15:val="{1BCF3E3C-2548-4766-9C35-2471D1A4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D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2D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2D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2D42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0A26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6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6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6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60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2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260B"/>
    <w:rPr>
      <w:rFonts w:ascii="Segoe UI" w:hAnsi="Segoe UI" w:cs="Segoe UI"/>
      <w:sz w:val="18"/>
      <w:szCs w:val="18"/>
    </w:rPr>
  </w:style>
  <w:style w:type="paragraph" w:customStyle="1" w:styleId="11">
    <w:name w:val="1.1"/>
    <w:basedOn w:val="a"/>
    <w:uiPriority w:val="99"/>
    <w:rsid w:val="007E27D5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Document Map"/>
    <w:basedOn w:val="a"/>
    <w:link w:val="af"/>
    <w:uiPriority w:val="99"/>
    <w:semiHidden/>
    <w:unhideWhenUsed/>
    <w:rsid w:val="0067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741F0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9843F7"/>
    <w:pPr>
      <w:spacing w:after="0" w:line="240" w:lineRule="auto"/>
    </w:pPr>
  </w:style>
  <w:style w:type="paragraph" w:customStyle="1" w:styleId="ConsPlusNormal">
    <w:name w:val="ConsPlusNormal"/>
    <w:rsid w:val="007F1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1">
    <w:name w:val="Hyperlink"/>
    <w:basedOn w:val="a0"/>
    <w:uiPriority w:val="99"/>
    <w:semiHidden/>
    <w:unhideWhenUsed/>
    <w:rsid w:val="00AE3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14D0-2F2A-464D-A8CA-6A1F094D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СБЕРБАНКА</Company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Ольга Александровна</dc:creator>
  <cp:lastModifiedBy>Гагарина Ольга Валентиновна</cp:lastModifiedBy>
  <cp:revision>2</cp:revision>
  <dcterms:created xsi:type="dcterms:W3CDTF">2022-02-08T07:31:00Z</dcterms:created>
  <dcterms:modified xsi:type="dcterms:W3CDTF">2022-02-08T07:31:00Z</dcterms:modified>
</cp:coreProperties>
</file>