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6EB" w:rsidRDefault="00CC16EB" w:rsidP="00CC16EB">
      <w:pPr>
        <w:jc w:val="center"/>
        <w:rPr>
          <w:rFonts w:ascii="Arial" w:hAnsi="Arial"/>
          <w:sz w:val="22"/>
        </w:rPr>
      </w:pPr>
      <w:bookmarkStart w:id="0" w:name="_GoBack"/>
      <w:bookmarkEnd w:id="0"/>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CC16EB" w:rsidRDefault="00CC16EB" w:rsidP="00CC16EB">
      <w:pPr>
        <w:jc w:val="center"/>
        <w:rPr>
          <w:rFonts w:ascii="Arial" w:hAnsi="Arial"/>
          <w:sz w:val="22"/>
        </w:rPr>
      </w:pPr>
    </w:p>
    <w:p w:rsidR="00575020" w:rsidRDefault="00575020" w:rsidP="00CC16EB">
      <w:pPr>
        <w:jc w:val="center"/>
        <w:rPr>
          <w:rFonts w:ascii="Arial" w:hAnsi="Arial"/>
          <w:sz w:val="22"/>
        </w:rPr>
      </w:pPr>
      <w:r>
        <w:rPr>
          <w:rFonts w:ascii="Arial" w:hAnsi="Arial"/>
          <w:sz w:val="22"/>
        </w:rPr>
        <w:t>НЕГОСУДАРСТВЕННЫЕ ПЕНСИОННЫЕ ФОНДЫ В ЦИФРАХ</w:t>
      </w:r>
    </w:p>
    <w:p w:rsidR="00CC16EB" w:rsidRPr="00CC16EB" w:rsidRDefault="00CC16EB" w:rsidP="00CC16EB">
      <w:pPr>
        <w:jc w:val="center"/>
        <w:rPr>
          <w:rFonts w:ascii="Arial" w:hAnsi="Arial"/>
          <w:sz w:val="22"/>
        </w:rPr>
      </w:pPr>
      <w:r>
        <w:rPr>
          <w:rFonts w:ascii="Arial" w:hAnsi="Arial"/>
          <w:sz w:val="22"/>
        </w:rPr>
        <w:t xml:space="preserve">(ПРИЛОЖЕНИЕ К </w:t>
      </w:r>
      <w:r w:rsidRPr="00CC16EB">
        <w:rPr>
          <w:rFonts w:ascii="Arial" w:hAnsi="Arial"/>
          <w:sz w:val="22"/>
        </w:rPr>
        <w:t>ОТЧЕТ</w:t>
      </w:r>
      <w:r>
        <w:rPr>
          <w:rFonts w:ascii="Arial" w:hAnsi="Arial"/>
          <w:sz w:val="22"/>
        </w:rPr>
        <w:t xml:space="preserve">У </w:t>
      </w:r>
      <w:r w:rsidRPr="00CC16EB">
        <w:rPr>
          <w:rFonts w:ascii="Arial" w:hAnsi="Arial"/>
          <w:sz w:val="22"/>
        </w:rPr>
        <w:t>НАЦИОНАЛЬНОЙ АССОЦИАЦИИ</w:t>
      </w:r>
    </w:p>
    <w:p w:rsidR="00CC16EB" w:rsidRPr="00CC16EB" w:rsidRDefault="00CC16EB" w:rsidP="00CC16EB">
      <w:pPr>
        <w:jc w:val="center"/>
        <w:rPr>
          <w:rFonts w:ascii="Arial" w:hAnsi="Arial"/>
          <w:sz w:val="22"/>
        </w:rPr>
      </w:pPr>
      <w:r w:rsidRPr="00CC16EB">
        <w:rPr>
          <w:rFonts w:ascii="Arial" w:hAnsi="Arial"/>
          <w:sz w:val="22"/>
        </w:rPr>
        <w:t>НЕГОСУДАРСТВЕННЫХ ПЕНСИОННЫХ ФОНДОВ</w:t>
      </w:r>
    </w:p>
    <w:p w:rsidR="00575020" w:rsidRDefault="00CC16EB" w:rsidP="00CC16EB">
      <w:pPr>
        <w:jc w:val="center"/>
        <w:rPr>
          <w:rFonts w:ascii="Arial" w:hAnsi="Arial"/>
          <w:sz w:val="22"/>
        </w:rPr>
      </w:pPr>
      <w:r w:rsidRPr="00CC16EB">
        <w:rPr>
          <w:rFonts w:ascii="Arial" w:hAnsi="Arial"/>
          <w:sz w:val="22"/>
        </w:rPr>
        <w:t>о деятельности за период с июня 201</w:t>
      </w:r>
      <w:r w:rsidR="005B4D06" w:rsidRPr="005B4D06">
        <w:rPr>
          <w:rFonts w:ascii="Arial" w:hAnsi="Arial"/>
          <w:sz w:val="22"/>
        </w:rPr>
        <w:t>2</w:t>
      </w:r>
      <w:r w:rsidRPr="00CC16EB">
        <w:rPr>
          <w:rFonts w:ascii="Arial" w:hAnsi="Arial"/>
          <w:sz w:val="22"/>
        </w:rPr>
        <w:t xml:space="preserve"> года по июнь 201</w:t>
      </w:r>
      <w:r w:rsidR="005B4D06" w:rsidRPr="005B4D06">
        <w:rPr>
          <w:rFonts w:ascii="Arial" w:hAnsi="Arial"/>
          <w:sz w:val="22"/>
        </w:rPr>
        <w:t>3</w:t>
      </w:r>
      <w:r w:rsidRPr="00CC16EB">
        <w:rPr>
          <w:rFonts w:ascii="Arial" w:hAnsi="Arial"/>
          <w:sz w:val="22"/>
        </w:rPr>
        <w:t xml:space="preserve"> года</w:t>
      </w:r>
      <w:r>
        <w:rPr>
          <w:rFonts w:ascii="Arial" w:hAnsi="Arial"/>
          <w:sz w:val="22"/>
        </w:rPr>
        <w:t>)</w:t>
      </w:r>
    </w:p>
    <w:p w:rsidR="00CC16EB" w:rsidRDefault="00CC16EB" w:rsidP="00CC16EB">
      <w:pPr>
        <w:jc w:val="center"/>
        <w:rPr>
          <w:rFonts w:ascii="Arial" w:hAnsi="Arial"/>
          <w:sz w:val="22"/>
        </w:rPr>
      </w:pPr>
    </w:p>
    <w:p w:rsidR="00CC16EB" w:rsidRDefault="00CC16EB">
      <w:pPr>
        <w:rPr>
          <w:rFonts w:ascii="Arial" w:hAnsi="Arial"/>
          <w:sz w:val="22"/>
        </w:rPr>
      </w:pPr>
      <w:r>
        <w:rPr>
          <w:rFonts w:ascii="Arial" w:hAnsi="Arial"/>
          <w:sz w:val="22"/>
        </w:rPr>
        <w:br w:type="page"/>
      </w:r>
    </w:p>
    <w:p w:rsidR="00CC16EB" w:rsidRDefault="00CC16EB" w:rsidP="00CC16EB">
      <w:pPr>
        <w:jc w:val="center"/>
        <w:rPr>
          <w:rFonts w:ascii="Arial" w:hAnsi="Arial"/>
          <w:sz w:val="22"/>
        </w:rPr>
      </w:pPr>
    </w:p>
    <w:p w:rsidR="00CC16EB" w:rsidRPr="00CC16EB" w:rsidRDefault="00CC16EB" w:rsidP="009A29E9">
      <w:pPr>
        <w:ind w:firstLine="709"/>
        <w:jc w:val="both"/>
        <w:rPr>
          <w:rFonts w:ascii="Arial" w:hAnsi="Arial"/>
          <w:sz w:val="22"/>
        </w:rPr>
      </w:pPr>
      <w:r w:rsidRPr="00CC16EB">
        <w:rPr>
          <w:rFonts w:ascii="Arial" w:hAnsi="Arial"/>
          <w:sz w:val="22"/>
        </w:rPr>
        <w:t>В настоящем приложении приведены основные количественные показатели, характеризующие место негосударственных пенсионных фондов в пенсионной системе России.</w:t>
      </w:r>
    </w:p>
    <w:p w:rsidR="00CC16EB" w:rsidRDefault="00CC16EB" w:rsidP="009A29E9">
      <w:pPr>
        <w:ind w:firstLine="709"/>
        <w:jc w:val="both"/>
        <w:rPr>
          <w:rFonts w:ascii="Arial" w:hAnsi="Arial"/>
          <w:sz w:val="22"/>
        </w:rPr>
      </w:pPr>
    </w:p>
    <w:p w:rsidR="00CC16EB" w:rsidRPr="00CC16EB" w:rsidRDefault="00CC16EB" w:rsidP="009A29E9">
      <w:pPr>
        <w:ind w:firstLine="709"/>
        <w:jc w:val="both"/>
        <w:rPr>
          <w:rFonts w:ascii="Arial" w:hAnsi="Arial"/>
          <w:b/>
          <w:sz w:val="22"/>
        </w:rPr>
      </w:pPr>
      <w:r w:rsidRPr="00CC16EB">
        <w:rPr>
          <w:rFonts w:ascii="Arial" w:hAnsi="Arial"/>
          <w:b/>
          <w:sz w:val="22"/>
        </w:rPr>
        <w:t>1. Основные данные пенсионной системы России</w:t>
      </w:r>
    </w:p>
    <w:p w:rsidR="00CC16EB" w:rsidRDefault="00CC16EB" w:rsidP="009A29E9">
      <w:pPr>
        <w:ind w:firstLine="709"/>
        <w:jc w:val="both"/>
        <w:rPr>
          <w:rFonts w:ascii="Arial" w:hAnsi="Arial"/>
          <w:sz w:val="22"/>
        </w:rPr>
      </w:pPr>
    </w:p>
    <w:p w:rsidR="00CC16EB" w:rsidRDefault="009A29E9" w:rsidP="009A29E9">
      <w:pPr>
        <w:ind w:firstLine="709"/>
        <w:jc w:val="both"/>
        <w:rPr>
          <w:rFonts w:ascii="Arial" w:hAnsi="Arial"/>
          <w:sz w:val="22"/>
        </w:rPr>
      </w:pPr>
      <w:r>
        <w:rPr>
          <w:rFonts w:ascii="Arial" w:hAnsi="Arial"/>
          <w:sz w:val="22"/>
        </w:rPr>
        <w:t xml:space="preserve">По данным </w:t>
      </w:r>
      <w:r w:rsidR="00117600">
        <w:rPr>
          <w:rFonts w:ascii="Arial" w:hAnsi="Arial"/>
          <w:sz w:val="22"/>
        </w:rPr>
        <w:t>Г</w:t>
      </w:r>
      <w:r>
        <w:rPr>
          <w:rFonts w:ascii="Arial" w:hAnsi="Arial"/>
          <w:sz w:val="22"/>
        </w:rPr>
        <w:t xml:space="preserve">оскомстата </w:t>
      </w:r>
      <w:r w:rsidR="00117600">
        <w:rPr>
          <w:rFonts w:ascii="Arial" w:hAnsi="Arial"/>
          <w:sz w:val="22"/>
        </w:rPr>
        <w:t>России численность экономически активного населения на конец 1 квартала 201</w:t>
      </w:r>
      <w:r w:rsidR="009966A6" w:rsidRPr="009966A6">
        <w:rPr>
          <w:rFonts w:ascii="Arial" w:hAnsi="Arial"/>
          <w:sz w:val="22"/>
        </w:rPr>
        <w:t>3</w:t>
      </w:r>
      <w:r w:rsidR="00117600">
        <w:rPr>
          <w:rFonts w:ascii="Arial" w:hAnsi="Arial"/>
          <w:sz w:val="22"/>
        </w:rPr>
        <w:t xml:space="preserve"> года </w:t>
      </w:r>
      <w:r w:rsidR="00D14F83" w:rsidRPr="00D14F83">
        <w:rPr>
          <w:rFonts w:ascii="Arial" w:hAnsi="Arial"/>
          <w:sz w:val="22"/>
        </w:rPr>
        <w:t>(</w:t>
      </w:r>
      <w:r w:rsidR="00D14F83">
        <w:rPr>
          <w:rFonts w:ascii="Arial" w:hAnsi="Arial"/>
          <w:sz w:val="22"/>
        </w:rPr>
        <w:t xml:space="preserve">численность населения в возрасте от 15 до 72 лет) </w:t>
      </w:r>
      <w:r w:rsidR="00117600">
        <w:rPr>
          <w:rFonts w:ascii="Arial" w:hAnsi="Arial"/>
          <w:sz w:val="22"/>
        </w:rPr>
        <w:t>составляла 7</w:t>
      </w:r>
      <w:r w:rsidR="00D14F83">
        <w:rPr>
          <w:rFonts w:ascii="Arial" w:hAnsi="Arial"/>
          <w:sz w:val="22"/>
        </w:rPr>
        <w:t>5,3</w:t>
      </w:r>
      <w:r w:rsidR="00117600">
        <w:rPr>
          <w:rFonts w:ascii="Arial" w:hAnsi="Arial"/>
          <w:sz w:val="22"/>
        </w:rPr>
        <w:t xml:space="preserve"> млн. </w:t>
      </w:r>
      <w:r w:rsidR="00CC16EB">
        <w:rPr>
          <w:rFonts w:ascii="Arial" w:hAnsi="Arial"/>
          <w:sz w:val="22"/>
        </w:rPr>
        <w:t>человек,</w:t>
      </w:r>
      <w:r w:rsidR="00451B6A">
        <w:rPr>
          <w:rFonts w:ascii="Arial" w:hAnsi="Arial"/>
          <w:sz w:val="22"/>
        </w:rPr>
        <w:t xml:space="preserve"> в том числе в экономике занято </w:t>
      </w:r>
      <w:r w:rsidR="00D14F83">
        <w:rPr>
          <w:rFonts w:ascii="Arial" w:hAnsi="Arial"/>
          <w:sz w:val="22"/>
        </w:rPr>
        <w:t>70,9</w:t>
      </w:r>
      <w:r w:rsidR="00451B6A">
        <w:rPr>
          <w:rFonts w:ascii="Arial" w:hAnsi="Arial"/>
          <w:sz w:val="22"/>
        </w:rPr>
        <w:t xml:space="preserve"> млн. человек</w:t>
      </w:r>
      <w:r w:rsidR="00117600">
        <w:rPr>
          <w:rFonts w:ascii="Arial" w:hAnsi="Arial"/>
          <w:sz w:val="22"/>
        </w:rPr>
        <w:t xml:space="preserve">. </w:t>
      </w:r>
    </w:p>
    <w:p w:rsidR="00D14F83" w:rsidRDefault="00D14F83" w:rsidP="009A29E9">
      <w:pPr>
        <w:ind w:firstLine="709"/>
        <w:jc w:val="both"/>
        <w:rPr>
          <w:rFonts w:ascii="Arial" w:hAnsi="Arial"/>
          <w:sz w:val="22"/>
        </w:rPr>
      </w:pPr>
      <w:r w:rsidRPr="00D14F83">
        <w:rPr>
          <w:rFonts w:ascii="Arial" w:hAnsi="Arial"/>
          <w:sz w:val="22"/>
        </w:rPr>
        <w:t xml:space="preserve">Средняя начисленная заработная плата </w:t>
      </w:r>
      <w:r w:rsidRPr="00D14F83">
        <w:rPr>
          <w:rFonts w:ascii="Arial" w:hAnsi="Arial"/>
          <w:sz w:val="22"/>
        </w:rPr>
        <w:tab/>
      </w:r>
      <w:r w:rsidRPr="00D14F83">
        <w:rPr>
          <w:rFonts w:ascii="Arial" w:hAnsi="Arial"/>
          <w:sz w:val="22"/>
        </w:rPr>
        <w:tab/>
      </w:r>
      <w:r w:rsidRPr="00D14F83">
        <w:rPr>
          <w:rFonts w:ascii="Arial" w:hAnsi="Arial"/>
          <w:sz w:val="22"/>
        </w:rPr>
        <w:tab/>
        <w:t>27274 руб.</w:t>
      </w:r>
    </w:p>
    <w:p w:rsidR="00D14F83" w:rsidRDefault="00342D39" w:rsidP="009A29E9">
      <w:pPr>
        <w:ind w:firstLine="709"/>
        <w:jc w:val="both"/>
        <w:rPr>
          <w:rFonts w:ascii="Arial" w:hAnsi="Arial"/>
          <w:sz w:val="22"/>
        </w:rPr>
      </w:pPr>
      <w:r w:rsidRPr="00342D39">
        <w:rPr>
          <w:rFonts w:ascii="Arial" w:hAnsi="Arial"/>
          <w:sz w:val="22"/>
        </w:rPr>
        <w:t xml:space="preserve">Структура </w:t>
      </w:r>
      <w:r w:rsidR="000007E6">
        <w:rPr>
          <w:rFonts w:ascii="Arial" w:hAnsi="Arial"/>
          <w:sz w:val="22"/>
        </w:rPr>
        <w:t xml:space="preserve">населения в трудоспособном возрасте (от 16 до официально установленного пенсионного возраста) </w:t>
      </w:r>
      <w:r w:rsidRPr="00342D39">
        <w:rPr>
          <w:rFonts w:ascii="Arial" w:hAnsi="Arial"/>
          <w:sz w:val="22"/>
        </w:rPr>
        <w:t xml:space="preserve">по видам </w:t>
      </w:r>
      <w:r w:rsidR="000007E6">
        <w:rPr>
          <w:rFonts w:ascii="Arial" w:hAnsi="Arial"/>
          <w:sz w:val="22"/>
        </w:rPr>
        <w:t>занятости</w:t>
      </w:r>
      <w:r w:rsidRPr="00342D39">
        <w:rPr>
          <w:rFonts w:ascii="Arial" w:hAnsi="Arial"/>
          <w:sz w:val="22"/>
        </w:rPr>
        <w:t xml:space="preserve"> представлена на диаграмме 1</w:t>
      </w:r>
    </w:p>
    <w:p w:rsidR="00342D39" w:rsidRDefault="00342D39" w:rsidP="009A29E9">
      <w:pPr>
        <w:ind w:firstLine="709"/>
        <w:jc w:val="both"/>
        <w:rPr>
          <w:rFonts w:ascii="Arial" w:hAnsi="Arial"/>
          <w:sz w:val="22"/>
        </w:rPr>
      </w:pPr>
    </w:p>
    <w:p w:rsidR="00D14F83" w:rsidRDefault="00F961A4" w:rsidP="009A29E9">
      <w:pPr>
        <w:ind w:firstLine="709"/>
        <w:jc w:val="both"/>
        <w:rPr>
          <w:rFonts w:ascii="Arial" w:hAnsi="Arial"/>
          <w:sz w:val="22"/>
        </w:rPr>
      </w:pPr>
      <w:r w:rsidRPr="00F961A4">
        <w:rPr>
          <w:rFonts w:ascii="Arial" w:hAnsi="Arial"/>
          <w:sz w:val="22"/>
        </w:rPr>
        <w:t xml:space="preserve">Численность пенсионеров </w:t>
      </w:r>
      <w:r w:rsidR="00342D39">
        <w:rPr>
          <w:rFonts w:ascii="Arial" w:hAnsi="Arial"/>
          <w:sz w:val="22"/>
        </w:rPr>
        <w:t xml:space="preserve">в 2012 году </w:t>
      </w:r>
      <w:r w:rsidRPr="00F961A4">
        <w:rPr>
          <w:rFonts w:ascii="Arial" w:hAnsi="Arial"/>
          <w:sz w:val="22"/>
        </w:rPr>
        <w:t>превысила 40 млн чел., из них 33,4 млн человек получают трудовые пенсии по старости и свыше 2,9 млн. человек – социальные пенсии.</w:t>
      </w:r>
    </w:p>
    <w:p w:rsidR="00F961A4" w:rsidRDefault="00F961A4" w:rsidP="009A29E9">
      <w:pPr>
        <w:ind w:firstLine="709"/>
        <w:jc w:val="both"/>
        <w:rPr>
          <w:rFonts w:ascii="Arial" w:hAnsi="Arial"/>
          <w:sz w:val="22"/>
        </w:rPr>
      </w:pPr>
      <w:r>
        <w:rPr>
          <w:rFonts w:ascii="Arial" w:hAnsi="Arial"/>
          <w:sz w:val="22"/>
        </w:rPr>
        <w:t>Данные по численности пенсионеров и средним размерам пенсии приведены в Таблице 1</w:t>
      </w:r>
    </w:p>
    <w:p w:rsidR="00F961A4" w:rsidRDefault="00F961A4" w:rsidP="009A29E9">
      <w:pPr>
        <w:ind w:firstLine="709"/>
        <w:jc w:val="both"/>
        <w:rPr>
          <w:rFonts w:ascii="Arial" w:hAnsi="Arial"/>
          <w:sz w:val="22"/>
        </w:rPr>
      </w:pPr>
    </w:p>
    <w:p w:rsidR="00F961A4" w:rsidRDefault="00F961A4" w:rsidP="00F961A4">
      <w:pPr>
        <w:ind w:firstLine="709"/>
        <w:jc w:val="right"/>
        <w:rPr>
          <w:rFonts w:ascii="Arial" w:hAnsi="Arial"/>
          <w:sz w:val="22"/>
        </w:rPr>
      </w:pPr>
      <w:r>
        <w:rPr>
          <w:rFonts w:ascii="Arial" w:hAnsi="Arial"/>
          <w:sz w:val="22"/>
        </w:rPr>
        <w:t>Таблица 1</w:t>
      </w:r>
    </w:p>
    <w:tbl>
      <w:tblPr>
        <w:tblStyle w:val="a3"/>
        <w:tblW w:w="0" w:type="auto"/>
        <w:tblLook w:val="04A0" w:firstRow="1" w:lastRow="0" w:firstColumn="1" w:lastColumn="0" w:noHBand="0" w:noVBand="1"/>
      </w:tblPr>
      <w:tblGrid>
        <w:gridCol w:w="4786"/>
        <w:gridCol w:w="2693"/>
        <w:gridCol w:w="2092"/>
      </w:tblGrid>
      <w:tr w:rsidR="00D14F83" w:rsidTr="00F961A4">
        <w:tc>
          <w:tcPr>
            <w:tcW w:w="4786" w:type="dxa"/>
          </w:tcPr>
          <w:p w:rsidR="00D14F83" w:rsidRDefault="00D14F83" w:rsidP="00F961A4">
            <w:pPr>
              <w:jc w:val="center"/>
              <w:rPr>
                <w:rFonts w:ascii="Arial" w:hAnsi="Arial"/>
                <w:sz w:val="22"/>
              </w:rPr>
            </w:pPr>
            <w:r>
              <w:rPr>
                <w:rFonts w:ascii="Arial" w:hAnsi="Arial"/>
                <w:sz w:val="22"/>
              </w:rPr>
              <w:t>Вид пенсии</w:t>
            </w:r>
          </w:p>
        </w:tc>
        <w:tc>
          <w:tcPr>
            <w:tcW w:w="2693" w:type="dxa"/>
          </w:tcPr>
          <w:p w:rsidR="00F961A4" w:rsidRDefault="00D14F83" w:rsidP="00F961A4">
            <w:pPr>
              <w:jc w:val="center"/>
              <w:rPr>
                <w:rFonts w:ascii="Arial" w:hAnsi="Arial"/>
                <w:sz w:val="22"/>
              </w:rPr>
            </w:pPr>
            <w:r>
              <w:rPr>
                <w:rFonts w:ascii="Arial" w:hAnsi="Arial"/>
                <w:sz w:val="22"/>
              </w:rPr>
              <w:t>Численность пенсионеров</w:t>
            </w:r>
          </w:p>
          <w:p w:rsidR="00D14F83" w:rsidRDefault="00F961A4" w:rsidP="00F961A4">
            <w:pPr>
              <w:jc w:val="center"/>
              <w:rPr>
                <w:rFonts w:ascii="Arial" w:hAnsi="Arial"/>
                <w:sz w:val="22"/>
              </w:rPr>
            </w:pPr>
            <w:r>
              <w:rPr>
                <w:rFonts w:ascii="Arial" w:hAnsi="Arial"/>
                <w:sz w:val="22"/>
              </w:rPr>
              <w:t>(тыс. чел.)</w:t>
            </w:r>
          </w:p>
        </w:tc>
        <w:tc>
          <w:tcPr>
            <w:tcW w:w="2092" w:type="dxa"/>
          </w:tcPr>
          <w:p w:rsidR="00F961A4" w:rsidRDefault="00D14F83" w:rsidP="00F961A4">
            <w:pPr>
              <w:jc w:val="center"/>
              <w:rPr>
                <w:rFonts w:ascii="Arial" w:hAnsi="Arial"/>
                <w:sz w:val="22"/>
              </w:rPr>
            </w:pPr>
            <w:r>
              <w:rPr>
                <w:rFonts w:ascii="Arial" w:hAnsi="Arial"/>
                <w:sz w:val="22"/>
              </w:rPr>
              <w:t>Средний размер пенсии</w:t>
            </w:r>
          </w:p>
          <w:p w:rsidR="00D14F83" w:rsidRDefault="00F961A4" w:rsidP="00F961A4">
            <w:pPr>
              <w:jc w:val="center"/>
              <w:rPr>
                <w:rFonts w:ascii="Arial" w:hAnsi="Arial"/>
                <w:sz w:val="22"/>
              </w:rPr>
            </w:pPr>
            <w:r>
              <w:rPr>
                <w:rFonts w:ascii="Arial" w:hAnsi="Arial"/>
                <w:sz w:val="22"/>
              </w:rPr>
              <w:t>(руб.)</w:t>
            </w:r>
          </w:p>
        </w:tc>
      </w:tr>
      <w:tr w:rsidR="00D14F83" w:rsidTr="00F961A4">
        <w:tc>
          <w:tcPr>
            <w:tcW w:w="4786" w:type="dxa"/>
          </w:tcPr>
          <w:p w:rsidR="00D14F83" w:rsidRDefault="00D14F83" w:rsidP="009A29E9">
            <w:pPr>
              <w:jc w:val="both"/>
              <w:rPr>
                <w:rFonts w:ascii="Arial" w:hAnsi="Arial"/>
                <w:sz w:val="22"/>
              </w:rPr>
            </w:pPr>
            <w:r>
              <w:rPr>
                <w:rFonts w:ascii="Arial" w:hAnsi="Arial"/>
                <w:sz w:val="22"/>
              </w:rPr>
              <w:t>Всего пенсионеров</w:t>
            </w:r>
          </w:p>
        </w:tc>
        <w:tc>
          <w:tcPr>
            <w:tcW w:w="2693" w:type="dxa"/>
          </w:tcPr>
          <w:p w:rsidR="00D14F83" w:rsidRDefault="00F961A4" w:rsidP="00F961A4">
            <w:pPr>
              <w:jc w:val="center"/>
              <w:rPr>
                <w:rFonts w:ascii="Arial" w:hAnsi="Arial"/>
                <w:sz w:val="22"/>
              </w:rPr>
            </w:pPr>
            <w:r>
              <w:rPr>
                <w:rFonts w:ascii="Arial" w:hAnsi="Arial"/>
                <w:sz w:val="22"/>
              </w:rPr>
              <w:t>40578,1</w:t>
            </w:r>
          </w:p>
        </w:tc>
        <w:tc>
          <w:tcPr>
            <w:tcW w:w="2092" w:type="dxa"/>
          </w:tcPr>
          <w:p w:rsidR="00D14F83" w:rsidRDefault="00F961A4" w:rsidP="00F961A4">
            <w:pPr>
              <w:jc w:val="center"/>
              <w:rPr>
                <w:rFonts w:ascii="Arial" w:hAnsi="Arial"/>
                <w:sz w:val="22"/>
              </w:rPr>
            </w:pPr>
            <w:r>
              <w:rPr>
                <w:rFonts w:ascii="Arial" w:hAnsi="Arial"/>
                <w:sz w:val="22"/>
              </w:rPr>
              <w:t>9154</w:t>
            </w:r>
          </w:p>
        </w:tc>
      </w:tr>
      <w:tr w:rsidR="00F961A4" w:rsidTr="00F961A4">
        <w:tc>
          <w:tcPr>
            <w:tcW w:w="4786" w:type="dxa"/>
          </w:tcPr>
          <w:p w:rsidR="00F961A4" w:rsidRDefault="00F961A4" w:rsidP="009A29E9">
            <w:pPr>
              <w:jc w:val="both"/>
              <w:rPr>
                <w:rFonts w:ascii="Arial" w:hAnsi="Arial"/>
                <w:sz w:val="22"/>
              </w:rPr>
            </w:pPr>
            <w:r>
              <w:rPr>
                <w:rFonts w:ascii="Arial" w:hAnsi="Arial"/>
                <w:sz w:val="22"/>
              </w:rPr>
              <w:t>Получатели трудовой пенсии всего</w:t>
            </w:r>
          </w:p>
        </w:tc>
        <w:tc>
          <w:tcPr>
            <w:tcW w:w="2693" w:type="dxa"/>
          </w:tcPr>
          <w:p w:rsidR="00F961A4" w:rsidRDefault="00F961A4" w:rsidP="00F961A4">
            <w:pPr>
              <w:jc w:val="center"/>
              <w:rPr>
                <w:rFonts w:ascii="Arial" w:hAnsi="Arial"/>
                <w:sz w:val="22"/>
              </w:rPr>
            </w:pPr>
            <w:r>
              <w:rPr>
                <w:rFonts w:ascii="Arial" w:hAnsi="Arial"/>
                <w:sz w:val="22"/>
              </w:rPr>
              <w:t>37250,7</w:t>
            </w:r>
          </w:p>
        </w:tc>
        <w:tc>
          <w:tcPr>
            <w:tcW w:w="2092" w:type="dxa"/>
          </w:tcPr>
          <w:p w:rsidR="00F961A4" w:rsidRDefault="00F961A4" w:rsidP="00F961A4">
            <w:pPr>
              <w:jc w:val="center"/>
              <w:rPr>
                <w:rFonts w:ascii="Arial" w:hAnsi="Arial"/>
                <w:sz w:val="22"/>
              </w:rPr>
            </w:pPr>
            <w:r>
              <w:rPr>
                <w:rFonts w:ascii="Arial" w:hAnsi="Arial"/>
                <w:sz w:val="22"/>
              </w:rPr>
              <w:t>9405</w:t>
            </w:r>
          </w:p>
        </w:tc>
      </w:tr>
      <w:tr w:rsidR="00F961A4" w:rsidTr="00F961A4">
        <w:tc>
          <w:tcPr>
            <w:tcW w:w="4786" w:type="dxa"/>
          </w:tcPr>
          <w:p w:rsidR="00F961A4" w:rsidRDefault="00F961A4" w:rsidP="009A29E9">
            <w:pPr>
              <w:jc w:val="both"/>
              <w:rPr>
                <w:rFonts w:ascii="Arial" w:hAnsi="Arial"/>
                <w:sz w:val="22"/>
              </w:rPr>
            </w:pPr>
            <w:r>
              <w:rPr>
                <w:rFonts w:ascii="Arial" w:hAnsi="Arial"/>
                <w:sz w:val="22"/>
              </w:rPr>
              <w:t>Получатели пенсии по старости</w:t>
            </w:r>
          </w:p>
        </w:tc>
        <w:tc>
          <w:tcPr>
            <w:tcW w:w="2693" w:type="dxa"/>
          </w:tcPr>
          <w:p w:rsidR="00F961A4" w:rsidRDefault="00F961A4" w:rsidP="00F961A4">
            <w:pPr>
              <w:jc w:val="center"/>
              <w:rPr>
                <w:rFonts w:ascii="Arial" w:hAnsi="Arial"/>
                <w:sz w:val="22"/>
              </w:rPr>
            </w:pPr>
            <w:r>
              <w:rPr>
                <w:rFonts w:ascii="Arial" w:hAnsi="Arial"/>
                <w:sz w:val="22"/>
              </w:rPr>
              <w:t>33454,3</w:t>
            </w:r>
          </w:p>
        </w:tc>
        <w:tc>
          <w:tcPr>
            <w:tcW w:w="2092" w:type="dxa"/>
          </w:tcPr>
          <w:p w:rsidR="00F961A4" w:rsidRDefault="00F961A4" w:rsidP="00F961A4">
            <w:pPr>
              <w:jc w:val="center"/>
              <w:rPr>
                <w:rFonts w:ascii="Arial" w:hAnsi="Arial"/>
                <w:sz w:val="22"/>
              </w:rPr>
            </w:pPr>
            <w:r>
              <w:rPr>
                <w:rFonts w:ascii="Arial" w:hAnsi="Arial"/>
                <w:sz w:val="22"/>
              </w:rPr>
              <w:t>9760</w:t>
            </w:r>
          </w:p>
        </w:tc>
      </w:tr>
      <w:tr w:rsidR="00F961A4" w:rsidTr="00F961A4">
        <w:tc>
          <w:tcPr>
            <w:tcW w:w="4786" w:type="dxa"/>
          </w:tcPr>
          <w:p w:rsidR="00F961A4" w:rsidRDefault="00F961A4" w:rsidP="009A29E9">
            <w:pPr>
              <w:jc w:val="both"/>
              <w:rPr>
                <w:rFonts w:ascii="Arial" w:hAnsi="Arial"/>
                <w:sz w:val="22"/>
              </w:rPr>
            </w:pPr>
            <w:r>
              <w:rPr>
                <w:rFonts w:ascii="Arial" w:hAnsi="Arial"/>
                <w:sz w:val="22"/>
              </w:rPr>
              <w:t>Получатели социальной пенсии</w:t>
            </w:r>
          </w:p>
        </w:tc>
        <w:tc>
          <w:tcPr>
            <w:tcW w:w="2693" w:type="dxa"/>
          </w:tcPr>
          <w:p w:rsidR="00F961A4" w:rsidRDefault="00F961A4" w:rsidP="00F961A4">
            <w:pPr>
              <w:jc w:val="center"/>
              <w:rPr>
                <w:rFonts w:ascii="Arial" w:hAnsi="Arial"/>
                <w:sz w:val="22"/>
              </w:rPr>
            </w:pPr>
            <w:r>
              <w:rPr>
                <w:rFonts w:ascii="Arial" w:hAnsi="Arial"/>
                <w:sz w:val="22"/>
              </w:rPr>
              <w:t>2910,7</w:t>
            </w:r>
          </w:p>
        </w:tc>
        <w:tc>
          <w:tcPr>
            <w:tcW w:w="2092" w:type="dxa"/>
          </w:tcPr>
          <w:p w:rsidR="00F961A4" w:rsidRDefault="00F961A4" w:rsidP="00F961A4">
            <w:pPr>
              <w:jc w:val="center"/>
              <w:rPr>
                <w:rFonts w:ascii="Arial" w:hAnsi="Arial"/>
                <w:sz w:val="22"/>
              </w:rPr>
            </w:pPr>
            <w:r>
              <w:rPr>
                <w:rFonts w:ascii="Arial" w:hAnsi="Arial"/>
                <w:sz w:val="22"/>
              </w:rPr>
              <w:t>5919</w:t>
            </w:r>
          </w:p>
        </w:tc>
      </w:tr>
    </w:tbl>
    <w:p w:rsidR="00D14F83" w:rsidRPr="00F961A4" w:rsidRDefault="00F961A4" w:rsidP="00F961A4">
      <w:pPr>
        <w:ind w:firstLine="709"/>
        <w:jc w:val="right"/>
        <w:rPr>
          <w:rFonts w:ascii="Arial" w:hAnsi="Arial"/>
          <w:sz w:val="18"/>
          <w:szCs w:val="18"/>
        </w:rPr>
      </w:pPr>
      <w:r w:rsidRPr="00F961A4">
        <w:rPr>
          <w:rFonts w:ascii="Arial" w:hAnsi="Arial"/>
          <w:sz w:val="18"/>
          <w:szCs w:val="18"/>
        </w:rPr>
        <w:t>Источник: Пенсионный фонд России</w:t>
      </w:r>
    </w:p>
    <w:p w:rsidR="00F961A4" w:rsidRDefault="00F961A4" w:rsidP="009A29E9">
      <w:pPr>
        <w:ind w:firstLine="709"/>
        <w:jc w:val="both"/>
        <w:rPr>
          <w:rFonts w:ascii="Arial" w:hAnsi="Arial"/>
          <w:sz w:val="22"/>
        </w:rPr>
      </w:pPr>
    </w:p>
    <w:p w:rsidR="00A61B35" w:rsidRDefault="00A61B35" w:rsidP="009A29E9">
      <w:pPr>
        <w:ind w:firstLine="709"/>
        <w:jc w:val="both"/>
        <w:rPr>
          <w:rFonts w:ascii="Arial" w:hAnsi="Arial"/>
          <w:sz w:val="22"/>
        </w:rPr>
      </w:pPr>
      <w:r>
        <w:rPr>
          <w:rFonts w:ascii="Arial" w:hAnsi="Arial"/>
          <w:sz w:val="22"/>
        </w:rPr>
        <w:t xml:space="preserve">Неотъемлемой частью пенсионной системы России является накопительный компонент, включающий в себя накопительную часть трудовой пенсии по старости </w:t>
      </w:r>
      <w:r w:rsidR="00CC16EB">
        <w:rPr>
          <w:rFonts w:ascii="Arial" w:hAnsi="Arial"/>
          <w:sz w:val="22"/>
        </w:rPr>
        <w:t>в рамках</w:t>
      </w:r>
      <w:r>
        <w:rPr>
          <w:rFonts w:ascii="Arial" w:hAnsi="Arial"/>
          <w:sz w:val="22"/>
        </w:rPr>
        <w:t xml:space="preserve"> обязательно</w:t>
      </w:r>
      <w:r w:rsidR="00CC16EB">
        <w:rPr>
          <w:rFonts w:ascii="Arial" w:hAnsi="Arial"/>
          <w:sz w:val="22"/>
        </w:rPr>
        <w:t>го</w:t>
      </w:r>
      <w:r>
        <w:rPr>
          <w:rFonts w:ascii="Arial" w:hAnsi="Arial"/>
          <w:sz w:val="22"/>
        </w:rPr>
        <w:t xml:space="preserve"> пенсионно</w:t>
      </w:r>
      <w:r w:rsidR="00CC16EB">
        <w:rPr>
          <w:rFonts w:ascii="Arial" w:hAnsi="Arial"/>
          <w:sz w:val="22"/>
        </w:rPr>
        <w:t>го</w:t>
      </w:r>
      <w:r>
        <w:rPr>
          <w:rFonts w:ascii="Arial" w:hAnsi="Arial"/>
          <w:sz w:val="22"/>
        </w:rPr>
        <w:t xml:space="preserve"> страховани</w:t>
      </w:r>
      <w:r w:rsidR="00CC16EB">
        <w:rPr>
          <w:rFonts w:ascii="Arial" w:hAnsi="Arial"/>
          <w:sz w:val="22"/>
        </w:rPr>
        <w:t>я</w:t>
      </w:r>
      <w:r>
        <w:rPr>
          <w:rFonts w:ascii="Arial" w:hAnsi="Arial"/>
          <w:sz w:val="22"/>
        </w:rPr>
        <w:t xml:space="preserve"> и пенсии по добровольному (негосударственному) пенсионному обеспечению </w:t>
      </w:r>
    </w:p>
    <w:p w:rsidR="004544F6" w:rsidRDefault="004544F6" w:rsidP="009A29E9">
      <w:pPr>
        <w:ind w:firstLine="709"/>
        <w:jc w:val="both"/>
        <w:rPr>
          <w:rFonts w:ascii="Arial" w:hAnsi="Arial"/>
          <w:sz w:val="22"/>
        </w:rPr>
      </w:pPr>
      <w:r w:rsidRPr="004544F6">
        <w:rPr>
          <w:rFonts w:ascii="Arial" w:hAnsi="Arial"/>
          <w:sz w:val="22"/>
        </w:rPr>
        <w:t xml:space="preserve">Задачу формирования накопительных пенсий в Российской Федерации решает Пенсионный фонд России, а также система негосударственных пенсионных фондов, которая </w:t>
      </w:r>
      <w:r w:rsidR="00607888">
        <w:rPr>
          <w:rFonts w:ascii="Arial" w:hAnsi="Arial"/>
          <w:sz w:val="22"/>
        </w:rPr>
        <w:t xml:space="preserve">по состоянию на 29.04.2013 г. </w:t>
      </w:r>
      <w:r w:rsidRPr="004544F6">
        <w:rPr>
          <w:rFonts w:ascii="Arial" w:hAnsi="Arial"/>
          <w:sz w:val="22"/>
        </w:rPr>
        <w:t>представлена 1</w:t>
      </w:r>
      <w:r w:rsidR="00607888">
        <w:rPr>
          <w:rFonts w:ascii="Arial" w:hAnsi="Arial"/>
          <w:sz w:val="22"/>
        </w:rPr>
        <w:t>29</w:t>
      </w:r>
      <w:r w:rsidRPr="004544F6">
        <w:rPr>
          <w:rFonts w:ascii="Arial" w:hAnsi="Arial"/>
          <w:sz w:val="22"/>
        </w:rPr>
        <w:t xml:space="preserve"> фондами, имеющими лицензию на право деятельности по пенсионному обеспечению и пенсионному страхованию. </w:t>
      </w:r>
    </w:p>
    <w:p w:rsidR="00A61B35" w:rsidRDefault="00A61B35" w:rsidP="009A29E9">
      <w:pPr>
        <w:ind w:firstLine="709"/>
        <w:jc w:val="both"/>
        <w:rPr>
          <w:rFonts w:ascii="Arial" w:hAnsi="Arial"/>
          <w:sz w:val="22"/>
        </w:rPr>
      </w:pPr>
      <w:r>
        <w:rPr>
          <w:rFonts w:ascii="Arial" w:hAnsi="Arial"/>
          <w:sz w:val="22"/>
        </w:rPr>
        <w:t>На начало 201</w:t>
      </w:r>
      <w:r w:rsidR="00607888">
        <w:rPr>
          <w:rFonts w:ascii="Arial" w:hAnsi="Arial"/>
          <w:sz w:val="22"/>
        </w:rPr>
        <w:t>3</w:t>
      </w:r>
      <w:r>
        <w:rPr>
          <w:rFonts w:ascii="Arial" w:hAnsi="Arial"/>
          <w:sz w:val="22"/>
        </w:rPr>
        <w:t xml:space="preserve"> года в накопительном компоненте аккумулированы пенсионные средства в объеме </w:t>
      </w:r>
      <w:r w:rsidR="003C15C4">
        <w:rPr>
          <w:rFonts w:ascii="Arial" w:hAnsi="Arial"/>
          <w:sz w:val="22"/>
        </w:rPr>
        <w:t>свыше 2</w:t>
      </w:r>
      <w:r w:rsidR="00607888">
        <w:rPr>
          <w:rFonts w:ascii="Arial" w:hAnsi="Arial"/>
          <w:sz w:val="22"/>
        </w:rPr>
        <w:t xml:space="preserve">758,9 </w:t>
      </w:r>
      <w:r w:rsidR="003C15C4">
        <w:rPr>
          <w:rFonts w:ascii="Arial" w:hAnsi="Arial"/>
          <w:sz w:val="22"/>
        </w:rPr>
        <w:t xml:space="preserve">млрд. рублей, </w:t>
      </w:r>
      <w:r w:rsidR="00243AC4">
        <w:rPr>
          <w:rFonts w:ascii="Arial" w:hAnsi="Arial"/>
          <w:sz w:val="22"/>
        </w:rPr>
        <w:t xml:space="preserve">более, половины которых </w:t>
      </w:r>
      <w:r w:rsidR="00607888">
        <w:rPr>
          <w:rFonts w:ascii="Arial" w:hAnsi="Arial"/>
          <w:sz w:val="22"/>
        </w:rPr>
        <w:t>1426,8</w:t>
      </w:r>
      <w:r w:rsidR="003C15C4">
        <w:rPr>
          <w:rFonts w:ascii="Arial" w:hAnsi="Arial"/>
          <w:sz w:val="22"/>
        </w:rPr>
        <w:t xml:space="preserve"> млрд. руб. </w:t>
      </w:r>
      <w:r w:rsidR="00243AC4" w:rsidRPr="00243AC4">
        <w:rPr>
          <w:rFonts w:ascii="Arial" w:hAnsi="Arial"/>
          <w:sz w:val="22"/>
        </w:rPr>
        <w:t xml:space="preserve">(51,7%) </w:t>
      </w:r>
      <w:r w:rsidR="003C15C4">
        <w:rPr>
          <w:rFonts w:ascii="Arial" w:hAnsi="Arial"/>
          <w:sz w:val="22"/>
        </w:rPr>
        <w:t xml:space="preserve">накоплены в негосударственных пенсионных фондах. (Диаграмма </w:t>
      </w:r>
      <w:r w:rsidR="00CC16EB">
        <w:rPr>
          <w:rFonts w:ascii="Arial" w:hAnsi="Arial"/>
          <w:sz w:val="22"/>
        </w:rPr>
        <w:t>2</w:t>
      </w:r>
      <w:r w:rsidR="003C15C4">
        <w:rPr>
          <w:rFonts w:ascii="Arial" w:hAnsi="Arial"/>
          <w:sz w:val="22"/>
        </w:rPr>
        <w:t>)</w:t>
      </w:r>
      <w:r>
        <w:rPr>
          <w:rFonts w:ascii="Arial" w:hAnsi="Arial"/>
          <w:sz w:val="22"/>
        </w:rPr>
        <w:t xml:space="preserve"> </w:t>
      </w:r>
    </w:p>
    <w:p w:rsidR="00A61B35" w:rsidRDefault="00A61B35" w:rsidP="009A29E9">
      <w:pPr>
        <w:ind w:firstLine="709"/>
        <w:jc w:val="both"/>
        <w:rPr>
          <w:rFonts w:ascii="Arial" w:hAnsi="Arial"/>
          <w:sz w:val="22"/>
        </w:rPr>
      </w:pPr>
    </w:p>
    <w:p w:rsidR="00BF174B" w:rsidRPr="004544F6" w:rsidRDefault="00BF174B" w:rsidP="009A29E9">
      <w:pPr>
        <w:ind w:firstLine="709"/>
        <w:jc w:val="both"/>
        <w:rPr>
          <w:rFonts w:ascii="Arial" w:hAnsi="Arial"/>
          <w:b/>
          <w:sz w:val="22"/>
        </w:rPr>
      </w:pPr>
      <w:r w:rsidRPr="004544F6">
        <w:rPr>
          <w:rFonts w:ascii="Arial" w:hAnsi="Arial"/>
          <w:b/>
          <w:sz w:val="22"/>
        </w:rPr>
        <w:t xml:space="preserve">2 Основные показатели деятельности </w:t>
      </w:r>
      <w:r w:rsidR="004544F6">
        <w:rPr>
          <w:rFonts w:ascii="Arial" w:hAnsi="Arial"/>
          <w:b/>
          <w:sz w:val="22"/>
        </w:rPr>
        <w:t xml:space="preserve">системы </w:t>
      </w:r>
      <w:r w:rsidRPr="004544F6">
        <w:rPr>
          <w:rFonts w:ascii="Arial" w:hAnsi="Arial"/>
          <w:b/>
          <w:sz w:val="22"/>
        </w:rPr>
        <w:t>негосударственных пенсионных фондов</w:t>
      </w:r>
    </w:p>
    <w:p w:rsidR="00BF174B" w:rsidRPr="009A29E9" w:rsidRDefault="00BF174B" w:rsidP="009A29E9">
      <w:pPr>
        <w:ind w:firstLine="709"/>
        <w:jc w:val="both"/>
        <w:rPr>
          <w:rFonts w:ascii="Arial" w:hAnsi="Arial"/>
          <w:sz w:val="22"/>
        </w:rPr>
      </w:pPr>
    </w:p>
    <w:p w:rsidR="00BF174B" w:rsidRPr="009A29E9" w:rsidRDefault="004544F6" w:rsidP="009A29E9">
      <w:pPr>
        <w:ind w:firstLine="709"/>
        <w:jc w:val="both"/>
        <w:rPr>
          <w:rFonts w:ascii="Arial" w:hAnsi="Arial"/>
          <w:sz w:val="22"/>
        </w:rPr>
      </w:pPr>
      <w:r>
        <w:rPr>
          <w:rFonts w:ascii="Arial" w:hAnsi="Arial"/>
          <w:sz w:val="22"/>
        </w:rPr>
        <w:t>С</w:t>
      </w:r>
      <w:r w:rsidRPr="004544F6">
        <w:rPr>
          <w:rFonts w:ascii="Arial" w:hAnsi="Arial"/>
          <w:sz w:val="22"/>
        </w:rPr>
        <w:t xml:space="preserve">истема негосударственных пенсионных фондов представлена </w:t>
      </w:r>
      <w:r w:rsidR="00032949">
        <w:rPr>
          <w:rFonts w:ascii="Arial" w:hAnsi="Arial"/>
          <w:sz w:val="22"/>
        </w:rPr>
        <w:t>129</w:t>
      </w:r>
      <w:r w:rsidRPr="004544F6">
        <w:rPr>
          <w:rFonts w:ascii="Arial" w:hAnsi="Arial"/>
          <w:sz w:val="22"/>
        </w:rPr>
        <w:t xml:space="preserve"> фондами, имеющими лицензию на право деятельности по пенсионному обеспечению и пенсионному страхованию</w:t>
      </w:r>
      <w:r w:rsidR="00C8569F">
        <w:rPr>
          <w:rFonts w:ascii="Arial" w:hAnsi="Arial"/>
          <w:sz w:val="22"/>
        </w:rPr>
        <w:t>.</w:t>
      </w:r>
      <w:r w:rsidRPr="004544F6">
        <w:rPr>
          <w:rFonts w:ascii="Arial" w:hAnsi="Arial"/>
          <w:sz w:val="22"/>
        </w:rPr>
        <w:t xml:space="preserve"> </w:t>
      </w:r>
      <w:r w:rsidR="00BF174B" w:rsidRPr="009A29E9">
        <w:rPr>
          <w:rFonts w:ascii="Arial" w:hAnsi="Arial"/>
          <w:sz w:val="22"/>
        </w:rPr>
        <w:t>В рамках системы создана и эффективно функционирует инфраструктура накопительного пенсионного страхования, включающая в себя управляющие компании, специализированные депозитарии, аудиторские организации, актуарные и консалтинговые компании, а также фирмы, обеспечивающие разработку программного обеспечения.</w:t>
      </w:r>
    </w:p>
    <w:p w:rsidR="00BF174B" w:rsidRPr="009A29E9" w:rsidRDefault="00BF174B" w:rsidP="009A29E9">
      <w:pPr>
        <w:ind w:firstLine="709"/>
        <w:jc w:val="both"/>
        <w:rPr>
          <w:rFonts w:ascii="Arial" w:hAnsi="Arial"/>
          <w:sz w:val="22"/>
        </w:rPr>
      </w:pPr>
      <w:r w:rsidRPr="009A29E9">
        <w:rPr>
          <w:rFonts w:ascii="Arial" w:hAnsi="Arial"/>
          <w:sz w:val="22"/>
        </w:rPr>
        <w:t xml:space="preserve">Сегодня негосударственные пенсионные фонды обслуживают свыше </w:t>
      </w:r>
      <w:r w:rsidR="00234D82">
        <w:rPr>
          <w:rFonts w:ascii="Arial" w:hAnsi="Arial"/>
          <w:sz w:val="22"/>
        </w:rPr>
        <w:t>2</w:t>
      </w:r>
      <w:r w:rsidR="00032949">
        <w:rPr>
          <w:rFonts w:ascii="Arial" w:hAnsi="Arial"/>
          <w:sz w:val="22"/>
        </w:rPr>
        <w:t>5</w:t>
      </w:r>
      <w:r w:rsidRPr="009A29E9">
        <w:rPr>
          <w:rFonts w:ascii="Arial" w:hAnsi="Arial"/>
          <w:sz w:val="22"/>
        </w:rPr>
        <w:t xml:space="preserve"> млн. граждан России. </w:t>
      </w:r>
      <w:r w:rsidR="00C8569F">
        <w:rPr>
          <w:rFonts w:ascii="Arial" w:hAnsi="Arial"/>
          <w:sz w:val="22"/>
        </w:rPr>
        <w:t>По состоянию на начало 2013 года в</w:t>
      </w:r>
      <w:r w:rsidRPr="009A29E9">
        <w:rPr>
          <w:rFonts w:ascii="Arial" w:hAnsi="Arial"/>
          <w:sz w:val="22"/>
        </w:rPr>
        <w:t xml:space="preserve"> негосударственных пенсионных фондах накопительную часть трудовой пенсии формируют свыше </w:t>
      </w:r>
      <w:r w:rsidR="00234D82">
        <w:rPr>
          <w:rFonts w:ascii="Arial" w:hAnsi="Arial"/>
          <w:sz w:val="22"/>
        </w:rPr>
        <w:t>1</w:t>
      </w:r>
      <w:r w:rsidR="00C8569F">
        <w:rPr>
          <w:rFonts w:ascii="Arial" w:hAnsi="Arial"/>
          <w:sz w:val="22"/>
        </w:rPr>
        <w:t>6,5</w:t>
      </w:r>
      <w:r w:rsidRPr="009A29E9">
        <w:rPr>
          <w:rFonts w:ascii="Arial" w:hAnsi="Arial"/>
          <w:sz w:val="22"/>
        </w:rPr>
        <w:t xml:space="preserve"> млн. человек. </w:t>
      </w:r>
      <w:r w:rsidR="00234D82">
        <w:rPr>
          <w:rFonts w:ascii="Arial" w:hAnsi="Arial"/>
          <w:sz w:val="22"/>
        </w:rPr>
        <w:t>Почти</w:t>
      </w:r>
      <w:r w:rsidRPr="009A29E9">
        <w:rPr>
          <w:rFonts w:ascii="Arial" w:hAnsi="Arial"/>
          <w:sz w:val="22"/>
        </w:rPr>
        <w:t xml:space="preserve"> 6,</w:t>
      </w:r>
      <w:r w:rsidR="00C8569F">
        <w:rPr>
          <w:rFonts w:ascii="Arial" w:hAnsi="Arial"/>
          <w:sz w:val="22"/>
        </w:rPr>
        <w:t>8</w:t>
      </w:r>
      <w:r w:rsidRPr="009A29E9">
        <w:rPr>
          <w:rFonts w:ascii="Arial" w:hAnsi="Arial"/>
          <w:sz w:val="22"/>
        </w:rPr>
        <w:t xml:space="preserve"> млн. человек накапливают в НПФ пенсию по добровольному (негосударственному) пенсионному обеспечению. </w:t>
      </w:r>
      <w:r w:rsidR="00C8569F">
        <w:rPr>
          <w:rFonts w:ascii="Arial" w:hAnsi="Arial"/>
          <w:sz w:val="22"/>
        </w:rPr>
        <w:t xml:space="preserve">После завершения кампании по </w:t>
      </w:r>
      <w:r w:rsidR="00C8569F">
        <w:rPr>
          <w:rFonts w:ascii="Arial" w:hAnsi="Arial"/>
          <w:sz w:val="22"/>
        </w:rPr>
        <w:lastRenderedPageBreak/>
        <w:t xml:space="preserve">переводу средств пенсионных накоплений граждан, изменивших в 2012 году место формирования своих пенсионных накоплений, </w:t>
      </w:r>
      <w:r w:rsidR="000007E6">
        <w:rPr>
          <w:rFonts w:ascii="Arial" w:hAnsi="Arial"/>
          <w:sz w:val="22"/>
        </w:rPr>
        <w:t>к</w:t>
      </w:r>
      <w:r w:rsidR="00C8569F">
        <w:rPr>
          <w:rFonts w:ascii="Arial" w:hAnsi="Arial"/>
          <w:sz w:val="22"/>
        </w:rPr>
        <w:t xml:space="preserve">оличество застрахованных лиц, формирующих </w:t>
      </w:r>
      <w:r w:rsidR="00C8569F" w:rsidRPr="00C8569F">
        <w:rPr>
          <w:rFonts w:ascii="Arial" w:hAnsi="Arial"/>
          <w:sz w:val="22"/>
        </w:rPr>
        <w:t>в негосударственных пенсионных фондах накопительную часть трудовой пенсии</w:t>
      </w:r>
      <w:r w:rsidR="000007E6">
        <w:rPr>
          <w:rFonts w:ascii="Arial" w:hAnsi="Arial"/>
          <w:sz w:val="22"/>
        </w:rPr>
        <w:t>,</w:t>
      </w:r>
      <w:r w:rsidR="00C8569F" w:rsidRPr="00C8569F">
        <w:rPr>
          <w:rFonts w:ascii="Arial" w:hAnsi="Arial"/>
          <w:sz w:val="22"/>
        </w:rPr>
        <w:t xml:space="preserve"> </w:t>
      </w:r>
      <w:r w:rsidR="00C8569F">
        <w:rPr>
          <w:rFonts w:ascii="Arial" w:hAnsi="Arial"/>
          <w:sz w:val="22"/>
        </w:rPr>
        <w:t>превысит 20 млн. человек</w:t>
      </w:r>
      <w:r w:rsidR="000007E6">
        <w:rPr>
          <w:rFonts w:ascii="Arial" w:hAnsi="Arial"/>
          <w:sz w:val="22"/>
        </w:rPr>
        <w:t>. Ч</w:t>
      </w:r>
      <w:r w:rsidR="00C8569F">
        <w:rPr>
          <w:rFonts w:ascii="Arial" w:hAnsi="Arial"/>
          <w:sz w:val="22"/>
        </w:rPr>
        <w:t xml:space="preserve">асть из </w:t>
      </w:r>
      <w:r w:rsidR="000007E6">
        <w:rPr>
          <w:rFonts w:ascii="Arial" w:hAnsi="Arial"/>
          <w:sz w:val="22"/>
        </w:rPr>
        <w:t>них</w:t>
      </w:r>
      <w:r w:rsidR="00C8569F">
        <w:rPr>
          <w:rFonts w:ascii="Arial" w:hAnsi="Arial"/>
          <w:sz w:val="22"/>
        </w:rPr>
        <w:t xml:space="preserve"> являются одновременно клиентами НПФ и по обязательному пенсионному страхованию, и по негосударственному пенсионному обеспечению</w:t>
      </w:r>
      <w:r w:rsidRPr="009A29E9">
        <w:rPr>
          <w:rFonts w:ascii="Arial" w:hAnsi="Arial"/>
          <w:sz w:val="22"/>
        </w:rPr>
        <w:t>.</w:t>
      </w:r>
    </w:p>
    <w:p w:rsidR="00BF174B" w:rsidRPr="009A29E9" w:rsidRDefault="000007E6" w:rsidP="009A29E9">
      <w:pPr>
        <w:ind w:firstLine="709"/>
        <w:jc w:val="both"/>
        <w:rPr>
          <w:rFonts w:ascii="Arial" w:hAnsi="Arial"/>
          <w:sz w:val="22"/>
        </w:rPr>
      </w:pPr>
      <w:r>
        <w:rPr>
          <w:rFonts w:ascii="Arial" w:hAnsi="Arial"/>
          <w:sz w:val="22"/>
        </w:rPr>
        <w:t>В</w:t>
      </w:r>
      <w:r w:rsidR="00BF174B" w:rsidRPr="009A29E9">
        <w:rPr>
          <w:rFonts w:ascii="Arial" w:hAnsi="Arial"/>
          <w:sz w:val="22"/>
        </w:rPr>
        <w:t xml:space="preserve"> негосударственных пенсионных фондах </w:t>
      </w:r>
      <w:r w:rsidRPr="000007E6">
        <w:rPr>
          <w:rFonts w:ascii="Arial" w:hAnsi="Arial"/>
          <w:sz w:val="22"/>
        </w:rPr>
        <w:t xml:space="preserve">уже получают </w:t>
      </w:r>
      <w:r w:rsidR="00BF174B" w:rsidRPr="009A29E9">
        <w:rPr>
          <w:rFonts w:ascii="Arial" w:hAnsi="Arial"/>
          <w:sz w:val="22"/>
        </w:rPr>
        <w:t>дополнительную (негосударственную) пенсию</w:t>
      </w:r>
      <w:r>
        <w:rPr>
          <w:rFonts w:ascii="Arial" w:hAnsi="Arial"/>
          <w:sz w:val="22"/>
        </w:rPr>
        <w:t xml:space="preserve"> </w:t>
      </w:r>
      <w:r w:rsidRPr="000007E6">
        <w:rPr>
          <w:rFonts w:ascii="Arial" w:hAnsi="Arial"/>
          <w:sz w:val="22"/>
        </w:rPr>
        <w:t>1537,1 тыс. человек</w:t>
      </w:r>
      <w:r w:rsidR="00BF174B" w:rsidRPr="009A29E9">
        <w:rPr>
          <w:rFonts w:ascii="Arial" w:hAnsi="Arial"/>
          <w:sz w:val="22"/>
        </w:rPr>
        <w:t xml:space="preserve">. В тех отраслях, которые охвачены негосударственным пенсионным обеспечением, удается обеспечить суммарный для всех видов пенсии коэффициент замещения, превышающий (с учетом размера заработной платы в отрасли) средний по стране на 12 – 15%. </w:t>
      </w:r>
    </w:p>
    <w:p w:rsidR="004544F6" w:rsidRDefault="004544F6" w:rsidP="009A29E9">
      <w:pPr>
        <w:ind w:firstLine="709"/>
        <w:jc w:val="both"/>
        <w:rPr>
          <w:rFonts w:ascii="Arial" w:hAnsi="Arial"/>
          <w:sz w:val="22"/>
        </w:rPr>
      </w:pPr>
    </w:p>
    <w:p w:rsidR="00783CE6" w:rsidRDefault="003C15C4" w:rsidP="009A29E9">
      <w:pPr>
        <w:ind w:firstLine="709"/>
        <w:jc w:val="both"/>
        <w:rPr>
          <w:rFonts w:ascii="Arial" w:hAnsi="Arial"/>
          <w:sz w:val="22"/>
        </w:rPr>
      </w:pPr>
      <w:r>
        <w:rPr>
          <w:rFonts w:ascii="Arial" w:hAnsi="Arial"/>
          <w:sz w:val="22"/>
        </w:rPr>
        <w:t>В течение последних лет как в результате повышения требований к имуществу негосударственных пенсионных фондов, так и в результате экономического кризиса произошли</w:t>
      </w:r>
      <w:r w:rsidR="00783CE6">
        <w:rPr>
          <w:rFonts w:ascii="Arial" w:hAnsi="Arial"/>
          <w:sz w:val="22"/>
        </w:rPr>
        <w:t xml:space="preserve"> существенные изменения в количестве и структуре действующих НПФ.</w:t>
      </w:r>
    </w:p>
    <w:p w:rsidR="00F968D8" w:rsidRDefault="00783CE6" w:rsidP="009A29E9">
      <w:pPr>
        <w:ind w:firstLine="709"/>
        <w:jc w:val="both"/>
        <w:rPr>
          <w:rFonts w:ascii="Arial" w:hAnsi="Arial"/>
          <w:sz w:val="22"/>
        </w:rPr>
      </w:pPr>
      <w:r>
        <w:rPr>
          <w:rFonts w:ascii="Arial" w:hAnsi="Arial"/>
          <w:sz w:val="22"/>
        </w:rPr>
        <w:t xml:space="preserve">Общее количество фондов, имеющих лицензию, уменьшилось с </w:t>
      </w:r>
      <w:r w:rsidR="00972279">
        <w:rPr>
          <w:rFonts w:ascii="Arial" w:hAnsi="Arial"/>
          <w:sz w:val="22"/>
        </w:rPr>
        <w:t>начала</w:t>
      </w:r>
      <w:r>
        <w:rPr>
          <w:rFonts w:ascii="Arial" w:hAnsi="Arial"/>
          <w:sz w:val="22"/>
        </w:rPr>
        <w:t xml:space="preserve"> 200</w:t>
      </w:r>
      <w:r w:rsidR="00972279">
        <w:rPr>
          <w:rFonts w:ascii="Arial" w:hAnsi="Arial"/>
          <w:sz w:val="22"/>
        </w:rPr>
        <w:t>8</w:t>
      </w:r>
      <w:r>
        <w:rPr>
          <w:rFonts w:ascii="Arial" w:hAnsi="Arial"/>
          <w:sz w:val="22"/>
        </w:rPr>
        <w:t xml:space="preserve"> года с 240 до </w:t>
      </w:r>
      <w:r w:rsidR="001F63AF">
        <w:rPr>
          <w:rFonts w:ascii="Arial" w:hAnsi="Arial"/>
          <w:sz w:val="22"/>
        </w:rPr>
        <w:t>129</w:t>
      </w:r>
      <w:r>
        <w:rPr>
          <w:rFonts w:ascii="Arial" w:hAnsi="Arial"/>
          <w:sz w:val="22"/>
        </w:rPr>
        <w:t>. Число фондов, осуществляющих деятельность по обязательному пенсионному страхованию – со 125 до 103.</w:t>
      </w:r>
      <w:r w:rsidR="00F968D8">
        <w:rPr>
          <w:rFonts w:ascii="Arial" w:hAnsi="Arial"/>
          <w:sz w:val="22"/>
        </w:rPr>
        <w:t xml:space="preserve"> </w:t>
      </w:r>
      <w:r w:rsidR="000007E6">
        <w:rPr>
          <w:rFonts w:ascii="Arial" w:hAnsi="Arial"/>
          <w:sz w:val="22"/>
        </w:rPr>
        <w:t>Уменьшение числа пенсионных фондов произошло как в результате ухода с рынка небольших фондов, не сумевших обеспечить заданный размер ИОУД, так и в результате присоединения небольших фондов к более крупным.</w:t>
      </w:r>
    </w:p>
    <w:p w:rsidR="000007E6" w:rsidRDefault="00F968D8" w:rsidP="009A29E9">
      <w:pPr>
        <w:ind w:firstLine="709"/>
        <w:jc w:val="both"/>
        <w:rPr>
          <w:rFonts w:ascii="Arial" w:hAnsi="Arial"/>
          <w:sz w:val="22"/>
        </w:rPr>
      </w:pPr>
      <w:r>
        <w:rPr>
          <w:rFonts w:ascii="Arial" w:hAnsi="Arial"/>
          <w:sz w:val="22"/>
        </w:rPr>
        <w:t xml:space="preserve">Изменение </w:t>
      </w:r>
      <w:r w:rsidR="00CE7949">
        <w:rPr>
          <w:rFonts w:ascii="Arial" w:hAnsi="Arial"/>
          <w:sz w:val="22"/>
        </w:rPr>
        <w:t xml:space="preserve">за последние пять лет </w:t>
      </w:r>
      <w:r>
        <w:rPr>
          <w:rFonts w:ascii="Arial" w:hAnsi="Arial"/>
          <w:sz w:val="22"/>
        </w:rPr>
        <w:t xml:space="preserve">структуры НПФ в зависимости от размера </w:t>
      </w:r>
      <w:r w:rsidR="000007E6">
        <w:rPr>
          <w:rFonts w:ascii="Arial" w:hAnsi="Arial"/>
          <w:sz w:val="22"/>
        </w:rPr>
        <w:t xml:space="preserve">их </w:t>
      </w:r>
      <w:r>
        <w:rPr>
          <w:rFonts w:ascii="Arial" w:hAnsi="Arial"/>
          <w:sz w:val="22"/>
        </w:rPr>
        <w:t xml:space="preserve">суммарных пенсионных средств (суммы пенсионных резервов и пенсионных накоплений) приведено на диаграмме </w:t>
      </w:r>
      <w:r w:rsidR="004544F6">
        <w:rPr>
          <w:rFonts w:ascii="Arial" w:hAnsi="Arial"/>
          <w:sz w:val="22"/>
        </w:rPr>
        <w:t>3</w:t>
      </w:r>
      <w:r>
        <w:rPr>
          <w:rFonts w:ascii="Arial" w:hAnsi="Arial"/>
          <w:sz w:val="22"/>
        </w:rPr>
        <w:t xml:space="preserve">. </w:t>
      </w:r>
    </w:p>
    <w:p w:rsidR="00BF174B" w:rsidRPr="009A29E9" w:rsidRDefault="00972279" w:rsidP="009A29E9">
      <w:pPr>
        <w:ind w:firstLine="709"/>
        <w:jc w:val="both"/>
        <w:rPr>
          <w:rFonts w:ascii="Arial" w:hAnsi="Arial"/>
          <w:sz w:val="22"/>
        </w:rPr>
      </w:pPr>
      <w:r>
        <w:rPr>
          <w:rFonts w:ascii="Arial" w:hAnsi="Arial"/>
          <w:sz w:val="22"/>
        </w:rPr>
        <w:t xml:space="preserve">Общее количество фондов уменьшилось с 240 до 134 (на начало 2013 года) </w:t>
      </w:r>
      <w:r w:rsidR="00F968D8">
        <w:rPr>
          <w:rFonts w:ascii="Arial" w:hAnsi="Arial"/>
          <w:sz w:val="22"/>
        </w:rPr>
        <w:t xml:space="preserve">В то время как количество фондов с малым размером пенсионных средств </w:t>
      </w:r>
      <w:r w:rsidR="00F968D8" w:rsidRPr="00F968D8">
        <w:rPr>
          <w:rFonts w:ascii="Arial" w:hAnsi="Arial"/>
          <w:sz w:val="22"/>
        </w:rPr>
        <w:t xml:space="preserve">уменьшилось </w:t>
      </w:r>
      <w:r w:rsidR="00F968D8">
        <w:rPr>
          <w:rFonts w:ascii="Arial" w:hAnsi="Arial"/>
          <w:sz w:val="22"/>
        </w:rPr>
        <w:t>(на 1</w:t>
      </w:r>
      <w:r>
        <w:rPr>
          <w:rFonts w:ascii="Arial" w:hAnsi="Arial"/>
          <w:sz w:val="22"/>
        </w:rPr>
        <w:t>22</w:t>
      </w:r>
      <w:r w:rsidR="00F968D8">
        <w:rPr>
          <w:rFonts w:ascii="Arial" w:hAnsi="Arial"/>
          <w:sz w:val="22"/>
        </w:rPr>
        <w:t xml:space="preserve"> фонд</w:t>
      </w:r>
      <w:r>
        <w:rPr>
          <w:rFonts w:ascii="Arial" w:hAnsi="Arial"/>
          <w:sz w:val="22"/>
        </w:rPr>
        <w:t>а</w:t>
      </w:r>
      <w:r w:rsidR="00F968D8">
        <w:rPr>
          <w:rFonts w:ascii="Arial" w:hAnsi="Arial"/>
          <w:sz w:val="22"/>
        </w:rPr>
        <w:t xml:space="preserve"> со средствами </w:t>
      </w:r>
      <w:r w:rsidR="00F968D8" w:rsidRPr="00F968D8">
        <w:rPr>
          <w:rFonts w:ascii="Arial" w:hAnsi="Arial"/>
          <w:sz w:val="22"/>
        </w:rPr>
        <w:t>менее 100 млн. рублей</w:t>
      </w:r>
      <w:r w:rsidR="00F968D8">
        <w:rPr>
          <w:rFonts w:ascii="Arial" w:hAnsi="Arial"/>
          <w:sz w:val="22"/>
        </w:rPr>
        <w:t>, и на 1</w:t>
      </w:r>
      <w:r>
        <w:rPr>
          <w:rFonts w:ascii="Arial" w:hAnsi="Arial"/>
          <w:sz w:val="22"/>
        </w:rPr>
        <w:t>8</w:t>
      </w:r>
      <w:r w:rsidR="00F968D8">
        <w:rPr>
          <w:rFonts w:ascii="Arial" w:hAnsi="Arial"/>
          <w:sz w:val="22"/>
        </w:rPr>
        <w:t xml:space="preserve"> фондов со средствами в диапазоне от 100 млн. рублей до 1 млрд</w:t>
      </w:r>
      <w:r w:rsidR="00662748">
        <w:rPr>
          <w:rFonts w:ascii="Arial" w:hAnsi="Arial"/>
          <w:sz w:val="22"/>
        </w:rPr>
        <w:t>.</w:t>
      </w:r>
      <w:r w:rsidR="00F968D8">
        <w:rPr>
          <w:rFonts w:ascii="Arial" w:hAnsi="Arial"/>
          <w:sz w:val="22"/>
        </w:rPr>
        <w:t xml:space="preserve"> рублей)</w:t>
      </w:r>
      <w:r w:rsidR="00662748">
        <w:rPr>
          <w:rFonts w:ascii="Arial" w:hAnsi="Arial"/>
          <w:sz w:val="22"/>
        </w:rPr>
        <w:t>,</w:t>
      </w:r>
      <w:r w:rsidR="00F968D8">
        <w:rPr>
          <w:rFonts w:ascii="Arial" w:hAnsi="Arial"/>
          <w:sz w:val="22"/>
        </w:rPr>
        <w:t xml:space="preserve"> количество крупных фондов выросло (на 16 </w:t>
      </w:r>
      <w:r w:rsidR="00F968D8" w:rsidRPr="00F968D8">
        <w:rPr>
          <w:rFonts w:ascii="Arial" w:hAnsi="Arial"/>
          <w:sz w:val="22"/>
        </w:rPr>
        <w:t xml:space="preserve">фондов со средствами в диапазоне от 1 </w:t>
      </w:r>
      <w:r w:rsidR="00F968D8">
        <w:rPr>
          <w:rFonts w:ascii="Arial" w:hAnsi="Arial"/>
          <w:sz w:val="22"/>
        </w:rPr>
        <w:t xml:space="preserve">до 10 </w:t>
      </w:r>
      <w:r w:rsidR="00662748" w:rsidRPr="00662748">
        <w:rPr>
          <w:rFonts w:ascii="Arial" w:hAnsi="Arial"/>
          <w:sz w:val="22"/>
        </w:rPr>
        <w:t>млрд.</w:t>
      </w:r>
      <w:r w:rsidR="00662748">
        <w:rPr>
          <w:rFonts w:ascii="Arial" w:hAnsi="Arial"/>
          <w:sz w:val="22"/>
        </w:rPr>
        <w:t xml:space="preserve"> </w:t>
      </w:r>
      <w:r w:rsidR="00F968D8" w:rsidRPr="00F968D8">
        <w:rPr>
          <w:rFonts w:ascii="Arial" w:hAnsi="Arial"/>
          <w:sz w:val="22"/>
        </w:rPr>
        <w:t>рублей</w:t>
      </w:r>
      <w:r w:rsidR="00F968D8">
        <w:rPr>
          <w:rFonts w:ascii="Arial" w:hAnsi="Arial"/>
          <w:sz w:val="22"/>
        </w:rPr>
        <w:t xml:space="preserve"> и на 1</w:t>
      </w:r>
      <w:r>
        <w:rPr>
          <w:rFonts w:ascii="Arial" w:hAnsi="Arial"/>
          <w:sz w:val="22"/>
        </w:rPr>
        <w:t>8</w:t>
      </w:r>
      <w:r w:rsidR="00F968D8">
        <w:rPr>
          <w:rFonts w:ascii="Arial" w:hAnsi="Arial"/>
          <w:sz w:val="22"/>
        </w:rPr>
        <w:t xml:space="preserve"> фондов </w:t>
      </w:r>
      <w:r w:rsidR="00F968D8" w:rsidRPr="00F968D8">
        <w:rPr>
          <w:rFonts w:ascii="Arial" w:hAnsi="Arial"/>
          <w:sz w:val="22"/>
        </w:rPr>
        <w:t xml:space="preserve">со средствами </w:t>
      </w:r>
      <w:r w:rsidR="00056704">
        <w:rPr>
          <w:rFonts w:ascii="Arial" w:hAnsi="Arial"/>
          <w:sz w:val="22"/>
        </w:rPr>
        <w:t xml:space="preserve">свыше </w:t>
      </w:r>
      <w:r w:rsidR="00F968D8" w:rsidRPr="00F968D8">
        <w:rPr>
          <w:rFonts w:ascii="Arial" w:hAnsi="Arial"/>
          <w:sz w:val="22"/>
        </w:rPr>
        <w:t>1</w:t>
      </w:r>
      <w:r w:rsidR="00056704">
        <w:rPr>
          <w:rFonts w:ascii="Arial" w:hAnsi="Arial"/>
          <w:sz w:val="22"/>
        </w:rPr>
        <w:t>0</w:t>
      </w:r>
      <w:r w:rsidR="00F968D8" w:rsidRPr="00F968D8">
        <w:rPr>
          <w:rFonts w:ascii="Arial" w:hAnsi="Arial"/>
          <w:sz w:val="22"/>
        </w:rPr>
        <w:t xml:space="preserve"> миллиард</w:t>
      </w:r>
      <w:r w:rsidR="00056704">
        <w:rPr>
          <w:rFonts w:ascii="Arial" w:hAnsi="Arial"/>
          <w:sz w:val="22"/>
        </w:rPr>
        <w:t>ов</w:t>
      </w:r>
      <w:r w:rsidR="00F968D8" w:rsidRPr="00F968D8">
        <w:rPr>
          <w:rFonts w:ascii="Arial" w:hAnsi="Arial"/>
          <w:sz w:val="22"/>
        </w:rPr>
        <w:t xml:space="preserve"> рублей</w:t>
      </w:r>
      <w:r w:rsidR="00662748">
        <w:rPr>
          <w:rFonts w:ascii="Arial" w:hAnsi="Arial"/>
          <w:sz w:val="22"/>
        </w:rPr>
        <w:t>).</w:t>
      </w:r>
      <w:r w:rsidR="00783CE6">
        <w:rPr>
          <w:rFonts w:ascii="Arial" w:hAnsi="Arial"/>
          <w:sz w:val="22"/>
        </w:rPr>
        <w:t xml:space="preserve"> </w:t>
      </w:r>
      <w:r w:rsidR="00F21E53">
        <w:rPr>
          <w:rFonts w:ascii="Arial" w:hAnsi="Arial"/>
          <w:sz w:val="22"/>
        </w:rPr>
        <w:t xml:space="preserve">С 79% до 89% выросла и доля </w:t>
      </w:r>
      <w:r w:rsidR="00CE7949">
        <w:rPr>
          <w:rFonts w:ascii="Arial" w:hAnsi="Arial"/>
          <w:sz w:val="22"/>
        </w:rPr>
        <w:t xml:space="preserve">в общей сумме пенсионных средств </w:t>
      </w:r>
      <w:r w:rsidR="00F21E53">
        <w:rPr>
          <w:rFonts w:ascii="Arial" w:hAnsi="Arial"/>
          <w:sz w:val="22"/>
        </w:rPr>
        <w:t>фондов</w:t>
      </w:r>
      <w:r w:rsidR="00CE7949">
        <w:rPr>
          <w:rFonts w:ascii="Arial" w:hAnsi="Arial"/>
          <w:sz w:val="22"/>
        </w:rPr>
        <w:t>, имеющих</w:t>
      </w:r>
      <w:r w:rsidR="00F21E53">
        <w:rPr>
          <w:rFonts w:ascii="Arial" w:hAnsi="Arial"/>
          <w:sz w:val="22"/>
        </w:rPr>
        <w:t xml:space="preserve"> суммарны</w:t>
      </w:r>
      <w:r w:rsidR="00CE7949">
        <w:rPr>
          <w:rFonts w:ascii="Arial" w:hAnsi="Arial"/>
          <w:sz w:val="22"/>
        </w:rPr>
        <w:t>е</w:t>
      </w:r>
      <w:r w:rsidR="00F21E53">
        <w:rPr>
          <w:rFonts w:ascii="Arial" w:hAnsi="Arial"/>
          <w:sz w:val="22"/>
        </w:rPr>
        <w:t xml:space="preserve"> пенсионны</w:t>
      </w:r>
      <w:r w:rsidR="00CE7949">
        <w:rPr>
          <w:rFonts w:ascii="Arial" w:hAnsi="Arial"/>
          <w:sz w:val="22"/>
        </w:rPr>
        <w:t>е</w:t>
      </w:r>
      <w:r w:rsidR="00F21E53">
        <w:rPr>
          <w:rFonts w:ascii="Arial" w:hAnsi="Arial"/>
          <w:sz w:val="22"/>
        </w:rPr>
        <w:t xml:space="preserve"> средства</w:t>
      </w:r>
      <w:r w:rsidR="00CE7949">
        <w:rPr>
          <w:rFonts w:ascii="Arial" w:hAnsi="Arial"/>
          <w:sz w:val="22"/>
        </w:rPr>
        <w:t xml:space="preserve"> свыше </w:t>
      </w:r>
      <w:r w:rsidR="00F21E53">
        <w:rPr>
          <w:rFonts w:ascii="Arial" w:hAnsi="Arial"/>
          <w:sz w:val="22"/>
        </w:rPr>
        <w:t>10 млрд. рублей.</w:t>
      </w:r>
      <w:r w:rsidR="003C15C4">
        <w:rPr>
          <w:rFonts w:ascii="Arial" w:hAnsi="Arial"/>
          <w:sz w:val="22"/>
        </w:rPr>
        <w:t xml:space="preserve"> </w:t>
      </w:r>
    </w:p>
    <w:p w:rsidR="00056704" w:rsidRDefault="00056704"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r w:rsidRPr="002304A8">
        <w:rPr>
          <w:rFonts w:ascii="Arial" w:hAnsi="Arial"/>
          <w:sz w:val="22"/>
        </w:rPr>
        <w:t>Итоги 201</w:t>
      </w:r>
      <w:r w:rsidR="00073C55">
        <w:rPr>
          <w:rFonts w:ascii="Arial" w:hAnsi="Arial"/>
          <w:sz w:val="22"/>
        </w:rPr>
        <w:t>2</w:t>
      </w:r>
      <w:r w:rsidRPr="002304A8">
        <w:rPr>
          <w:rFonts w:ascii="Arial" w:hAnsi="Arial"/>
          <w:sz w:val="22"/>
        </w:rPr>
        <w:t xml:space="preserve"> года показывают, что отрасль преодолела последствия кризиса </w:t>
      </w:r>
      <w:r w:rsidR="00234D82" w:rsidRPr="002304A8">
        <w:rPr>
          <w:rFonts w:ascii="Arial" w:hAnsi="Arial"/>
          <w:sz w:val="22"/>
        </w:rPr>
        <w:t>и продолжает развиваться</w:t>
      </w:r>
      <w:r w:rsidR="00292962" w:rsidRPr="002304A8">
        <w:rPr>
          <w:rFonts w:ascii="Arial" w:hAnsi="Arial"/>
          <w:sz w:val="22"/>
        </w:rPr>
        <w:t xml:space="preserve"> </w:t>
      </w:r>
      <w:r w:rsidRPr="002304A8">
        <w:rPr>
          <w:rFonts w:ascii="Arial" w:hAnsi="Arial"/>
          <w:sz w:val="22"/>
        </w:rPr>
        <w:t xml:space="preserve">(Таблица </w:t>
      </w:r>
      <w:r w:rsidR="00CE7949" w:rsidRPr="002304A8">
        <w:rPr>
          <w:rFonts w:ascii="Arial" w:hAnsi="Arial"/>
          <w:sz w:val="22"/>
        </w:rPr>
        <w:t>2</w:t>
      </w:r>
      <w:r w:rsidRPr="002304A8">
        <w:rPr>
          <w:rFonts w:ascii="Arial" w:hAnsi="Arial"/>
          <w:sz w:val="22"/>
        </w:rPr>
        <w:t>).</w:t>
      </w:r>
      <w:r w:rsidRPr="009A29E9">
        <w:rPr>
          <w:rFonts w:ascii="Arial" w:hAnsi="Arial"/>
          <w:sz w:val="22"/>
        </w:rPr>
        <w:t xml:space="preserve"> </w:t>
      </w:r>
    </w:p>
    <w:p w:rsidR="00BF174B" w:rsidRDefault="00292962" w:rsidP="00292962">
      <w:pPr>
        <w:ind w:firstLine="709"/>
        <w:jc w:val="right"/>
        <w:rPr>
          <w:rFonts w:ascii="Arial" w:hAnsi="Arial"/>
          <w:sz w:val="22"/>
        </w:rPr>
      </w:pPr>
      <w:r w:rsidRPr="00292962">
        <w:rPr>
          <w:rFonts w:ascii="Arial" w:hAnsi="Arial"/>
          <w:sz w:val="22"/>
        </w:rPr>
        <w:t xml:space="preserve">Таблица </w:t>
      </w:r>
      <w:r w:rsidR="00CE7949">
        <w:rPr>
          <w:rFonts w:ascii="Arial" w:hAnsi="Arial"/>
          <w:sz w:val="22"/>
        </w:rPr>
        <w:t>2</w:t>
      </w:r>
    </w:p>
    <w:p w:rsidR="00292962" w:rsidRDefault="00292962" w:rsidP="00292962">
      <w:pPr>
        <w:ind w:firstLine="709"/>
        <w:jc w:val="right"/>
        <w:rPr>
          <w:rFonts w:ascii="Arial" w:hAnsi="Arial"/>
          <w:sz w:val="22"/>
        </w:rPr>
      </w:pPr>
    </w:p>
    <w:tbl>
      <w:tblPr>
        <w:tblStyle w:val="a3"/>
        <w:tblW w:w="0" w:type="auto"/>
        <w:tblLook w:val="04A0" w:firstRow="1" w:lastRow="0" w:firstColumn="1" w:lastColumn="0" w:noHBand="0" w:noVBand="1"/>
      </w:tblPr>
      <w:tblGrid>
        <w:gridCol w:w="817"/>
        <w:gridCol w:w="4621"/>
        <w:gridCol w:w="1361"/>
        <w:gridCol w:w="1362"/>
        <w:gridCol w:w="1410"/>
      </w:tblGrid>
      <w:tr w:rsidR="000655D3" w:rsidTr="000655D3">
        <w:tc>
          <w:tcPr>
            <w:tcW w:w="817" w:type="dxa"/>
          </w:tcPr>
          <w:p w:rsidR="000655D3" w:rsidRDefault="000655D3" w:rsidP="009B7F09">
            <w:pPr>
              <w:jc w:val="center"/>
              <w:rPr>
                <w:rFonts w:ascii="Arial" w:hAnsi="Arial"/>
                <w:sz w:val="22"/>
              </w:rPr>
            </w:pPr>
            <w:r>
              <w:rPr>
                <w:rFonts w:ascii="Arial" w:hAnsi="Arial"/>
                <w:sz w:val="22"/>
              </w:rPr>
              <w:t>№№ пп</w:t>
            </w:r>
          </w:p>
        </w:tc>
        <w:tc>
          <w:tcPr>
            <w:tcW w:w="4621" w:type="dxa"/>
          </w:tcPr>
          <w:p w:rsidR="000655D3" w:rsidRDefault="000655D3" w:rsidP="009B7F09">
            <w:pPr>
              <w:jc w:val="center"/>
              <w:rPr>
                <w:rFonts w:ascii="Arial" w:hAnsi="Arial"/>
                <w:sz w:val="22"/>
              </w:rPr>
            </w:pPr>
            <w:r>
              <w:rPr>
                <w:rFonts w:ascii="Arial" w:hAnsi="Arial"/>
                <w:sz w:val="22"/>
              </w:rPr>
              <w:t>Наименование показателей</w:t>
            </w:r>
          </w:p>
        </w:tc>
        <w:tc>
          <w:tcPr>
            <w:tcW w:w="1361" w:type="dxa"/>
          </w:tcPr>
          <w:p w:rsidR="000655D3" w:rsidRDefault="000655D3" w:rsidP="009B7F09">
            <w:pPr>
              <w:jc w:val="center"/>
              <w:rPr>
                <w:rFonts w:ascii="Arial" w:hAnsi="Arial"/>
                <w:sz w:val="22"/>
              </w:rPr>
            </w:pPr>
            <w:r w:rsidRPr="000655D3">
              <w:rPr>
                <w:rFonts w:ascii="Arial" w:hAnsi="Arial"/>
                <w:sz w:val="22"/>
              </w:rPr>
              <w:t>1.01.2008</w:t>
            </w:r>
          </w:p>
        </w:tc>
        <w:tc>
          <w:tcPr>
            <w:tcW w:w="1362" w:type="dxa"/>
          </w:tcPr>
          <w:p w:rsidR="000655D3" w:rsidRDefault="000655D3" w:rsidP="009B7F09">
            <w:pPr>
              <w:jc w:val="center"/>
              <w:rPr>
                <w:rFonts w:ascii="Arial" w:hAnsi="Arial"/>
                <w:sz w:val="22"/>
              </w:rPr>
            </w:pPr>
            <w:r>
              <w:rPr>
                <w:rFonts w:ascii="Arial" w:hAnsi="Arial"/>
                <w:sz w:val="22"/>
              </w:rPr>
              <w:t>1.01.2009</w:t>
            </w:r>
          </w:p>
        </w:tc>
        <w:tc>
          <w:tcPr>
            <w:tcW w:w="1410" w:type="dxa"/>
          </w:tcPr>
          <w:p w:rsidR="000655D3" w:rsidRDefault="000655D3" w:rsidP="00437B47">
            <w:pPr>
              <w:jc w:val="center"/>
              <w:rPr>
                <w:rFonts w:ascii="Arial" w:hAnsi="Arial"/>
                <w:sz w:val="22"/>
              </w:rPr>
            </w:pPr>
            <w:r>
              <w:rPr>
                <w:rFonts w:ascii="Arial" w:hAnsi="Arial"/>
                <w:sz w:val="22"/>
              </w:rPr>
              <w:t>1.01.201</w:t>
            </w:r>
            <w:r w:rsidR="00437B47">
              <w:rPr>
                <w:rFonts w:ascii="Arial" w:hAnsi="Arial"/>
                <w:sz w:val="22"/>
              </w:rPr>
              <w:t>3</w:t>
            </w:r>
            <w:r>
              <w:rPr>
                <w:rFonts w:ascii="Arial" w:hAnsi="Arial"/>
                <w:sz w:val="22"/>
              </w:rPr>
              <w:t xml:space="preserve"> .</w:t>
            </w:r>
          </w:p>
        </w:tc>
      </w:tr>
      <w:tr w:rsidR="000655D3" w:rsidTr="000655D3">
        <w:tc>
          <w:tcPr>
            <w:tcW w:w="817" w:type="dxa"/>
          </w:tcPr>
          <w:p w:rsidR="000655D3" w:rsidRDefault="000655D3" w:rsidP="009B7F09">
            <w:pPr>
              <w:jc w:val="center"/>
              <w:rPr>
                <w:rFonts w:ascii="Arial" w:hAnsi="Arial"/>
                <w:sz w:val="22"/>
              </w:rPr>
            </w:pPr>
            <w:r>
              <w:rPr>
                <w:rFonts w:ascii="Arial" w:hAnsi="Arial"/>
                <w:sz w:val="22"/>
              </w:rPr>
              <w:t>1</w:t>
            </w:r>
          </w:p>
        </w:tc>
        <w:tc>
          <w:tcPr>
            <w:tcW w:w="4621" w:type="dxa"/>
          </w:tcPr>
          <w:p w:rsidR="000655D3" w:rsidRDefault="000655D3" w:rsidP="009A29E9">
            <w:pPr>
              <w:jc w:val="both"/>
              <w:rPr>
                <w:rFonts w:ascii="Arial" w:hAnsi="Arial"/>
                <w:sz w:val="22"/>
              </w:rPr>
            </w:pPr>
            <w:r>
              <w:rPr>
                <w:rFonts w:ascii="Arial" w:hAnsi="Arial"/>
                <w:sz w:val="22"/>
              </w:rPr>
              <w:t>Количество фондов (шт.)</w:t>
            </w:r>
          </w:p>
        </w:tc>
        <w:tc>
          <w:tcPr>
            <w:tcW w:w="1361" w:type="dxa"/>
          </w:tcPr>
          <w:p w:rsidR="000655D3" w:rsidRPr="000655D3" w:rsidRDefault="00B62938" w:rsidP="009B7F09">
            <w:pPr>
              <w:jc w:val="center"/>
              <w:rPr>
                <w:rFonts w:ascii="Arial" w:hAnsi="Arial"/>
                <w:sz w:val="22"/>
              </w:rPr>
            </w:pPr>
            <w:r>
              <w:rPr>
                <w:rFonts w:ascii="Arial" w:hAnsi="Arial"/>
                <w:sz w:val="22"/>
              </w:rPr>
              <w:t>240</w:t>
            </w:r>
          </w:p>
        </w:tc>
        <w:tc>
          <w:tcPr>
            <w:tcW w:w="1362" w:type="dxa"/>
          </w:tcPr>
          <w:p w:rsidR="000655D3" w:rsidRDefault="00B07F6C" w:rsidP="009B7F09">
            <w:pPr>
              <w:jc w:val="center"/>
              <w:rPr>
                <w:rFonts w:ascii="Arial" w:hAnsi="Arial"/>
                <w:sz w:val="22"/>
              </w:rPr>
            </w:pPr>
            <w:r>
              <w:rPr>
                <w:rFonts w:ascii="Arial" w:hAnsi="Arial"/>
                <w:sz w:val="22"/>
              </w:rPr>
              <w:t>209</w:t>
            </w:r>
          </w:p>
        </w:tc>
        <w:tc>
          <w:tcPr>
            <w:tcW w:w="1410" w:type="dxa"/>
          </w:tcPr>
          <w:p w:rsidR="000655D3" w:rsidRDefault="00B62938" w:rsidP="00CE7949">
            <w:pPr>
              <w:jc w:val="center"/>
              <w:rPr>
                <w:rFonts w:ascii="Arial" w:hAnsi="Arial"/>
                <w:sz w:val="22"/>
              </w:rPr>
            </w:pPr>
            <w:r>
              <w:rPr>
                <w:rFonts w:ascii="Arial" w:hAnsi="Arial"/>
                <w:sz w:val="22"/>
              </w:rPr>
              <w:t>1</w:t>
            </w:r>
            <w:r w:rsidR="00CE7949">
              <w:rPr>
                <w:rFonts w:ascii="Arial" w:hAnsi="Arial"/>
                <w:sz w:val="22"/>
              </w:rPr>
              <w:t>3</w:t>
            </w:r>
            <w:r>
              <w:rPr>
                <w:rFonts w:ascii="Arial" w:hAnsi="Arial"/>
                <w:sz w:val="22"/>
              </w:rPr>
              <w:t>4</w:t>
            </w:r>
          </w:p>
        </w:tc>
      </w:tr>
      <w:tr w:rsidR="000655D3" w:rsidTr="000655D3">
        <w:tc>
          <w:tcPr>
            <w:tcW w:w="817" w:type="dxa"/>
          </w:tcPr>
          <w:p w:rsidR="000655D3" w:rsidRDefault="000655D3" w:rsidP="009B7F09">
            <w:pPr>
              <w:jc w:val="center"/>
              <w:rPr>
                <w:rFonts w:ascii="Arial" w:hAnsi="Arial"/>
                <w:sz w:val="22"/>
              </w:rPr>
            </w:pPr>
            <w:r>
              <w:rPr>
                <w:rFonts w:ascii="Arial" w:hAnsi="Arial"/>
                <w:sz w:val="22"/>
              </w:rPr>
              <w:t>2</w:t>
            </w:r>
          </w:p>
        </w:tc>
        <w:tc>
          <w:tcPr>
            <w:tcW w:w="4621" w:type="dxa"/>
          </w:tcPr>
          <w:p w:rsidR="000655D3" w:rsidRDefault="000655D3" w:rsidP="009A29E9">
            <w:pPr>
              <w:jc w:val="both"/>
              <w:rPr>
                <w:rFonts w:ascii="Arial" w:hAnsi="Arial"/>
                <w:sz w:val="22"/>
              </w:rPr>
            </w:pPr>
            <w:r>
              <w:rPr>
                <w:rFonts w:ascii="Arial" w:hAnsi="Arial"/>
                <w:sz w:val="22"/>
              </w:rPr>
              <w:t>Собственное имущество фондов (млн. руб.)</w:t>
            </w:r>
          </w:p>
        </w:tc>
        <w:tc>
          <w:tcPr>
            <w:tcW w:w="1361" w:type="dxa"/>
          </w:tcPr>
          <w:p w:rsidR="000655D3" w:rsidRPr="000655D3" w:rsidRDefault="00B62938" w:rsidP="009B7F09">
            <w:pPr>
              <w:jc w:val="center"/>
              <w:rPr>
                <w:rFonts w:ascii="Arial" w:hAnsi="Arial"/>
                <w:sz w:val="22"/>
              </w:rPr>
            </w:pPr>
            <w:r>
              <w:rPr>
                <w:rFonts w:ascii="Arial" w:hAnsi="Arial"/>
                <w:sz w:val="22"/>
              </w:rPr>
              <w:t>602779,4</w:t>
            </w:r>
          </w:p>
        </w:tc>
        <w:tc>
          <w:tcPr>
            <w:tcW w:w="1362" w:type="dxa"/>
          </w:tcPr>
          <w:p w:rsidR="000655D3" w:rsidRDefault="00B07F6C" w:rsidP="009B7F09">
            <w:pPr>
              <w:jc w:val="center"/>
              <w:rPr>
                <w:rFonts w:ascii="Arial" w:hAnsi="Arial"/>
                <w:sz w:val="22"/>
              </w:rPr>
            </w:pPr>
            <w:r>
              <w:rPr>
                <w:rFonts w:ascii="Arial" w:hAnsi="Arial"/>
                <w:sz w:val="22"/>
              </w:rPr>
              <w:t>579429,2</w:t>
            </w:r>
          </w:p>
        </w:tc>
        <w:tc>
          <w:tcPr>
            <w:tcW w:w="1410" w:type="dxa"/>
          </w:tcPr>
          <w:p w:rsidR="000655D3" w:rsidRDefault="00437B47" w:rsidP="009B7F09">
            <w:pPr>
              <w:jc w:val="center"/>
              <w:rPr>
                <w:rFonts w:ascii="Arial" w:hAnsi="Arial"/>
                <w:sz w:val="22"/>
              </w:rPr>
            </w:pPr>
            <w:r>
              <w:rPr>
                <w:rFonts w:ascii="Arial" w:hAnsi="Arial"/>
                <w:sz w:val="22"/>
              </w:rPr>
              <w:t>1550472,3</w:t>
            </w:r>
          </w:p>
        </w:tc>
      </w:tr>
      <w:tr w:rsidR="000655D3" w:rsidTr="000655D3">
        <w:tc>
          <w:tcPr>
            <w:tcW w:w="817" w:type="dxa"/>
          </w:tcPr>
          <w:p w:rsidR="000655D3" w:rsidRDefault="000655D3" w:rsidP="009B7F09">
            <w:pPr>
              <w:jc w:val="center"/>
              <w:rPr>
                <w:rFonts w:ascii="Arial" w:hAnsi="Arial"/>
                <w:sz w:val="22"/>
              </w:rPr>
            </w:pPr>
            <w:r>
              <w:rPr>
                <w:rFonts w:ascii="Arial" w:hAnsi="Arial"/>
                <w:sz w:val="22"/>
              </w:rPr>
              <w:t>3</w:t>
            </w:r>
          </w:p>
        </w:tc>
        <w:tc>
          <w:tcPr>
            <w:tcW w:w="4621" w:type="dxa"/>
          </w:tcPr>
          <w:p w:rsidR="000655D3" w:rsidRDefault="000655D3" w:rsidP="009A29E9">
            <w:pPr>
              <w:jc w:val="both"/>
              <w:rPr>
                <w:rFonts w:ascii="Arial" w:hAnsi="Arial"/>
                <w:sz w:val="22"/>
              </w:rPr>
            </w:pPr>
            <w:r>
              <w:rPr>
                <w:rFonts w:ascii="Arial" w:hAnsi="Arial"/>
                <w:sz w:val="22"/>
              </w:rPr>
              <w:t>Имущество для обеспечения уставной деятельности (млн. руб.)</w:t>
            </w:r>
          </w:p>
        </w:tc>
        <w:tc>
          <w:tcPr>
            <w:tcW w:w="1361" w:type="dxa"/>
          </w:tcPr>
          <w:p w:rsidR="000655D3" w:rsidRPr="000655D3" w:rsidRDefault="00B62938" w:rsidP="009B7F09">
            <w:pPr>
              <w:jc w:val="center"/>
              <w:rPr>
                <w:rFonts w:ascii="Arial" w:hAnsi="Arial"/>
                <w:sz w:val="22"/>
              </w:rPr>
            </w:pPr>
            <w:r>
              <w:rPr>
                <w:rFonts w:ascii="Arial" w:hAnsi="Arial"/>
                <w:sz w:val="22"/>
              </w:rPr>
              <w:t>96431,8</w:t>
            </w:r>
          </w:p>
        </w:tc>
        <w:tc>
          <w:tcPr>
            <w:tcW w:w="1362" w:type="dxa"/>
          </w:tcPr>
          <w:p w:rsidR="000655D3" w:rsidRDefault="00B07F6C" w:rsidP="009B7F09">
            <w:pPr>
              <w:jc w:val="center"/>
              <w:rPr>
                <w:rFonts w:ascii="Arial" w:hAnsi="Arial"/>
                <w:sz w:val="22"/>
              </w:rPr>
            </w:pPr>
            <w:r>
              <w:rPr>
                <w:rFonts w:ascii="Arial" w:hAnsi="Arial"/>
                <w:sz w:val="22"/>
              </w:rPr>
              <w:t>78347,9</w:t>
            </w:r>
          </w:p>
        </w:tc>
        <w:tc>
          <w:tcPr>
            <w:tcW w:w="1410" w:type="dxa"/>
          </w:tcPr>
          <w:p w:rsidR="000655D3" w:rsidRDefault="00437B47" w:rsidP="009B7F09">
            <w:pPr>
              <w:jc w:val="center"/>
              <w:rPr>
                <w:rFonts w:ascii="Arial" w:hAnsi="Arial"/>
                <w:sz w:val="22"/>
              </w:rPr>
            </w:pPr>
            <w:r>
              <w:rPr>
                <w:rFonts w:ascii="Arial" w:hAnsi="Arial"/>
                <w:sz w:val="22"/>
              </w:rPr>
              <w:t>109941,7</w:t>
            </w:r>
          </w:p>
        </w:tc>
      </w:tr>
      <w:tr w:rsidR="000655D3" w:rsidTr="000655D3">
        <w:tc>
          <w:tcPr>
            <w:tcW w:w="817" w:type="dxa"/>
          </w:tcPr>
          <w:p w:rsidR="000655D3" w:rsidRDefault="000655D3" w:rsidP="009B7F09">
            <w:pPr>
              <w:jc w:val="center"/>
              <w:rPr>
                <w:rFonts w:ascii="Arial" w:hAnsi="Arial"/>
                <w:sz w:val="22"/>
              </w:rPr>
            </w:pPr>
            <w:r>
              <w:rPr>
                <w:rFonts w:ascii="Arial" w:hAnsi="Arial"/>
                <w:sz w:val="22"/>
              </w:rPr>
              <w:t>4</w:t>
            </w:r>
          </w:p>
        </w:tc>
        <w:tc>
          <w:tcPr>
            <w:tcW w:w="4621" w:type="dxa"/>
          </w:tcPr>
          <w:p w:rsidR="000655D3" w:rsidRDefault="000655D3" w:rsidP="009A29E9">
            <w:pPr>
              <w:jc w:val="both"/>
              <w:rPr>
                <w:rFonts w:ascii="Arial" w:hAnsi="Arial"/>
                <w:sz w:val="22"/>
              </w:rPr>
            </w:pPr>
            <w:r>
              <w:rPr>
                <w:rFonts w:ascii="Arial" w:hAnsi="Arial"/>
                <w:sz w:val="22"/>
              </w:rPr>
              <w:t>Пенсионные резервы (млн. руб.)</w:t>
            </w:r>
          </w:p>
        </w:tc>
        <w:tc>
          <w:tcPr>
            <w:tcW w:w="1361" w:type="dxa"/>
          </w:tcPr>
          <w:p w:rsidR="000655D3" w:rsidRPr="000655D3" w:rsidRDefault="00B62938" w:rsidP="009B7F09">
            <w:pPr>
              <w:jc w:val="center"/>
              <w:rPr>
                <w:rFonts w:ascii="Arial" w:hAnsi="Arial"/>
                <w:sz w:val="22"/>
              </w:rPr>
            </w:pPr>
            <w:r>
              <w:rPr>
                <w:rFonts w:ascii="Arial" w:hAnsi="Arial"/>
                <w:sz w:val="22"/>
              </w:rPr>
              <w:t>472888,8</w:t>
            </w:r>
          </w:p>
        </w:tc>
        <w:tc>
          <w:tcPr>
            <w:tcW w:w="1362" w:type="dxa"/>
          </w:tcPr>
          <w:p w:rsidR="000655D3" w:rsidRDefault="00B07F6C" w:rsidP="009B7F09">
            <w:pPr>
              <w:jc w:val="center"/>
              <w:rPr>
                <w:rFonts w:ascii="Arial" w:hAnsi="Arial"/>
                <w:sz w:val="22"/>
              </w:rPr>
            </w:pPr>
            <w:r>
              <w:rPr>
                <w:rFonts w:ascii="Arial" w:hAnsi="Arial"/>
                <w:sz w:val="22"/>
              </w:rPr>
              <w:t>462897,7</w:t>
            </w:r>
          </w:p>
        </w:tc>
        <w:tc>
          <w:tcPr>
            <w:tcW w:w="1410" w:type="dxa"/>
          </w:tcPr>
          <w:p w:rsidR="000655D3" w:rsidRDefault="00437B47" w:rsidP="009B7F09">
            <w:pPr>
              <w:jc w:val="center"/>
              <w:rPr>
                <w:rFonts w:ascii="Arial" w:hAnsi="Arial"/>
                <w:sz w:val="22"/>
              </w:rPr>
            </w:pPr>
            <w:r>
              <w:rPr>
                <w:rFonts w:ascii="Arial" w:hAnsi="Arial"/>
                <w:sz w:val="22"/>
              </w:rPr>
              <w:t>758072,9</w:t>
            </w:r>
          </w:p>
        </w:tc>
      </w:tr>
      <w:tr w:rsidR="000655D3" w:rsidTr="000655D3">
        <w:tc>
          <w:tcPr>
            <w:tcW w:w="817" w:type="dxa"/>
          </w:tcPr>
          <w:p w:rsidR="000655D3" w:rsidRDefault="000655D3" w:rsidP="009B7F09">
            <w:pPr>
              <w:jc w:val="center"/>
              <w:rPr>
                <w:rFonts w:ascii="Arial" w:hAnsi="Arial"/>
                <w:sz w:val="22"/>
              </w:rPr>
            </w:pPr>
            <w:r>
              <w:rPr>
                <w:rFonts w:ascii="Arial" w:hAnsi="Arial"/>
                <w:sz w:val="22"/>
              </w:rPr>
              <w:t>5</w:t>
            </w:r>
          </w:p>
        </w:tc>
        <w:tc>
          <w:tcPr>
            <w:tcW w:w="4621" w:type="dxa"/>
          </w:tcPr>
          <w:p w:rsidR="000655D3" w:rsidRDefault="000655D3" w:rsidP="009A29E9">
            <w:pPr>
              <w:jc w:val="both"/>
              <w:rPr>
                <w:rFonts w:ascii="Arial" w:hAnsi="Arial"/>
                <w:sz w:val="22"/>
              </w:rPr>
            </w:pPr>
            <w:r w:rsidRPr="000655D3">
              <w:rPr>
                <w:rFonts w:ascii="Arial" w:hAnsi="Arial"/>
                <w:sz w:val="22"/>
              </w:rPr>
              <w:t>Пенсионные накопления (млн. руб.)</w:t>
            </w:r>
          </w:p>
        </w:tc>
        <w:tc>
          <w:tcPr>
            <w:tcW w:w="1361" w:type="dxa"/>
          </w:tcPr>
          <w:p w:rsidR="000655D3" w:rsidRPr="000655D3" w:rsidRDefault="00B62938" w:rsidP="009B7F09">
            <w:pPr>
              <w:jc w:val="center"/>
              <w:rPr>
                <w:rFonts w:ascii="Arial" w:hAnsi="Arial"/>
                <w:sz w:val="22"/>
              </w:rPr>
            </w:pPr>
            <w:r>
              <w:rPr>
                <w:rFonts w:ascii="Arial" w:hAnsi="Arial"/>
                <w:sz w:val="22"/>
              </w:rPr>
              <w:t>26504,6</w:t>
            </w:r>
          </w:p>
        </w:tc>
        <w:tc>
          <w:tcPr>
            <w:tcW w:w="1362" w:type="dxa"/>
          </w:tcPr>
          <w:p w:rsidR="000655D3" w:rsidRDefault="00B07F6C" w:rsidP="009B7F09">
            <w:pPr>
              <w:jc w:val="center"/>
              <w:rPr>
                <w:rFonts w:ascii="Arial" w:hAnsi="Arial"/>
                <w:sz w:val="22"/>
              </w:rPr>
            </w:pPr>
            <w:r>
              <w:rPr>
                <w:rFonts w:ascii="Arial" w:hAnsi="Arial"/>
                <w:sz w:val="22"/>
              </w:rPr>
              <w:t>35541,1</w:t>
            </w:r>
          </w:p>
        </w:tc>
        <w:tc>
          <w:tcPr>
            <w:tcW w:w="1410" w:type="dxa"/>
          </w:tcPr>
          <w:p w:rsidR="000655D3" w:rsidRDefault="00437B47" w:rsidP="009B7F09">
            <w:pPr>
              <w:jc w:val="center"/>
              <w:rPr>
                <w:rFonts w:ascii="Arial" w:hAnsi="Arial"/>
                <w:sz w:val="22"/>
              </w:rPr>
            </w:pPr>
            <w:r>
              <w:rPr>
                <w:rFonts w:ascii="Arial" w:hAnsi="Arial"/>
                <w:sz w:val="22"/>
              </w:rPr>
              <w:t>668690,4</w:t>
            </w:r>
          </w:p>
        </w:tc>
      </w:tr>
      <w:tr w:rsidR="000655D3" w:rsidTr="000655D3">
        <w:tc>
          <w:tcPr>
            <w:tcW w:w="817" w:type="dxa"/>
          </w:tcPr>
          <w:p w:rsidR="000655D3" w:rsidRDefault="000655D3" w:rsidP="009B7F09">
            <w:pPr>
              <w:jc w:val="center"/>
              <w:rPr>
                <w:rFonts w:ascii="Arial" w:hAnsi="Arial"/>
                <w:sz w:val="22"/>
              </w:rPr>
            </w:pPr>
            <w:r>
              <w:rPr>
                <w:rFonts w:ascii="Arial" w:hAnsi="Arial"/>
                <w:sz w:val="22"/>
              </w:rPr>
              <w:t>6</w:t>
            </w:r>
          </w:p>
        </w:tc>
        <w:tc>
          <w:tcPr>
            <w:tcW w:w="4621" w:type="dxa"/>
          </w:tcPr>
          <w:p w:rsidR="000655D3" w:rsidRPr="000655D3" w:rsidRDefault="000655D3" w:rsidP="009A29E9">
            <w:pPr>
              <w:jc w:val="both"/>
              <w:rPr>
                <w:rFonts w:ascii="Arial" w:hAnsi="Arial"/>
                <w:sz w:val="22"/>
              </w:rPr>
            </w:pPr>
            <w:r w:rsidRPr="000655D3">
              <w:rPr>
                <w:rFonts w:ascii="Arial" w:hAnsi="Arial"/>
                <w:sz w:val="22"/>
              </w:rPr>
              <w:t>Количество участников фондов (тыс. чел.)</w:t>
            </w:r>
          </w:p>
        </w:tc>
        <w:tc>
          <w:tcPr>
            <w:tcW w:w="1361" w:type="dxa"/>
          </w:tcPr>
          <w:p w:rsidR="000655D3" w:rsidRPr="000655D3" w:rsidRDefault="00B62938" w:rsidP="009B7F09">
            <w:pPr>
              <w:jc w:val="center"/>
              <w:rPr>
                <w:rFonts w:ascii="Arial" w:hAnsi="Arial"/>
                <w:sz w:val="22"/>
              </w:rPr>
            </w:pPr>
            <w:r>
              <w:rPr>
                <w:rFonts w:ascii="Arial" w:hAnsi="Arial"/>
                <w:sz w:val="22"/>
              </w:rPr>
              <w:t>6757,1</w:t>
            </w:r>
          </w:p>
        </w:tc>
        <w:tc>
          <w:tcPr>
            <w:tcW w:w="1362" w:type="dxa"/>
          </w:tcPr>
          <w:p w:rsidR="000655D3" w:rsidRDefault="00B07F6C" w:rsidP="009B7F09">
            <w:pPr>
              <w:jc w:val="center"/>
              <w:rPr>
                <w:rFonts w:ascii="Arial" w:hAnsi="Arial"/>
                <w:sz w:val="22"/>
              </w:rPr>
            </w:pPr>
            <w:r>
              <w:rPr>
                <w:rFonts w:ascii="Arial" w:hAnsi="Arial"/>
                <w:sz w:val="22"/>
              </w:rPr>
              <w:t>6746,3</w:t>
            </w:r>
          </w:p>
        </w:tc>
        <w:tc>
          <w:tcPr>
            <w:tcW w:w="1410" w:type="dxa"/>
          </w:tcPr>
          <w:p w:rsidR="000655D3" w:rsidRDefault="00437B47" w:rsidP="009B7F09">
            <w:pPr>
              <w:jc w:val="center"/>
              <w:rPr>
                <w:rFonts w:ascii="Arial" w:hAnsi="Arial"/>
                <w:sz w:val="22"/>
              </w:rPr>
            </w:pPr>
            <w:r>
              <w:rPr>
                <w:rFonts w:ascii="Arial" w:hAnsi="Arial"/>
                <w:sz w:val="22"/>
              </w:rPr>
              <w:t>6781,5</w:t>
            </w:r>
          </w:p>
        </w:tc>
      </w:tr>
      <w:tr w:rsidR="000655D3" w:rsidTr="000655D3">
        <w:tc>
          <w:tcPr>
            <w:tcW w:w="817" w:type="dxa"/>
          </w:tcPr>
          <w:p w:rsidR="000655D3" w:rsidRDefault="000655D3" w:rsidP="009B7F09">
            <w:pPr>
              <w:jc w:val="center"/>
              <w:rPr>
                <w:rFonts w:ascii="Arial" w:hAnsi="Arial"/>
                <w:sz w:val="22"/>
              </w:rPr>
            </w:pPr>
            <w:r>
              <w:rPr>
                <w:rFonts w:ascii="Arial" w:hAnsi="Arial"/>
                <w:sz w:val="22"/>
              </w:rPr>
              <w:t>7</w:t>
            </w:r>
          </w:p>
        </w:tc>
        <w:tc>
          <w:tcPr>
            <w:tcW w:w="4621" w:type="dxa"/>
          </w:tcPr>
          <w:p w:rsidR="000655D3" w:rsidRPr="000655D3" w:rsidRDefault="000655D3" w:rsidP="009A29E9">
            <w:pPr>
              <w:jc w:val="both"/>
              <w:rPr>
                <w:rFonts w:ascii="Arial" w:hAnsi="Arial"/>
                <w:sz w:val="22"/>
              </w:rPr>
            </w:pPr>
            <w:r w:rsidRPr="000655D3">
              <w:rPr>
                <w:rFonts w:ascii="Arial" w:hAnsi="Arial"/>
                <w:sz w:val="22"/>
              </w:rPr>
              <w:t>Количество застрахованных лиц (тыс. чел.)</w:t>
            </w:r>
          </w:p>
        </w:tc>
        <w:tc>
          <w:tcPr>
            <w:tcW w:w="1361" w:type="dxa"/>
          </w:tcPr>
          <w:p w:rsidR="000655D3" w:rsidRPr="000655D3" w:rsidRDefault="00B62938" w:rsidP="009B7F09">
            <w:pPr>
              <w:jc w:val="center"/>
              <w:rPr>
                <w:rFonts w:ascii="Arial" w:hAnsi="Arial"/>
                <w:sz w:val="22"/>
              </w:rPr>
            </w:pPr>
            <w:r>
              <w:rPr>
                <w:rFonts w:ascii="Arial" w:hAnsi="Arial"/>
                <w:sz w:val="22"/>
              </w:rPr>
              <w:t>1877,2</w:t>
            </w:r>
          </w:p>
        </w:tc>
        <w:tc>
          <w:tcPr>
            <w:tcW w:w="1362" w:type="dxa"/>
          </w:tcPr>
          <w:p w:rsidR="000655D3" w:rsidRDefault="00B07F6C" w:rsidP="009B7F09">
            <w:pPr>
              <w:jc w:val="center"/>
              <w:rPr>
                <w:rFonts w:ascii="Arial" w:hAnsi="Arial"/>
                <w:sz w:val="22"/>
              </w:rPr>
            </w:pPr>
            <w:r>
              <w:rPr>
                <w:rFonts w:ascii="Arial" w:hAnsi="Arial"/>
                <w:sz w:val="22"/>
              </w:rPr>
              <w:t>3644,3</w:t>
            </w:r>
          </w:p>
        </w:tc>
        <w:tc>
          <w:tcPr>
            <w:tcW w:w="1410" w:type="dxa"/>
          </w:tcPr>
          <w:p w:rsidR="000655D3" w:rsidRDefault="00437B47" w:rsidP="009B7F09">
            <w:pPr>
              <w:jc w:val="center"/>
              <w:rPr>
                <w:rFonts w:ascii="Arial" w:hAnsi="Arial"/>
                <w:sz w:val="22"/>
              </w:rPr>
            </w:pPr>
            <w:r>
              <w:rPr>
                <w:rFonts w:ascii="Arial" w:hAnsi="Arial"/>
                <w:sz w:val="22"/>
              </w:rPr>
              <w:t>16570,1</w:t>
            </w:r>
            <w:r w:rsidR="00103DF6">
              <w:rPr>
                <w:rStyle w:val="a6"/>
                <w:rFonts w:ascii="Arial" w:hAnsi="Arial"/>
                <w:sz w:val="22"/>
              </w:rPr>
              <w:footnoteReference w:id="1"/>
            </w:r>
          </w:p>
        </w:tc>
      </w:tr>
      <w:tr w:rsidR="000655D3" w:rsidTr="000655D3">
        <w:tc>
          <w:tcPr>
            <w:tcW w:w="817" w:type="dxa"/>
          </w:tcPr>
          <w:p w:rsidR="000655D3" w:rsidRDefault="000655D3" w:rsidP="009B7F09">
            <w:pPr>
              <w:jc w:val="center"/>
              <w:rPr>
                <w:rFonts w:ascii="Arial" w:hAnsi="Arial"/>
                <w:sz w:val="22"/>
              </w:rPr>
            </w:pPr>
            <w:r>
              <w:rPr>
                <w:rFonts w:ascii="Arial" w:hAnsi="Arial"/>
                <w:sz w:val="22"/>
              </w:rPr>
              <w:t>8</w:t>
            </w:r>
          </w:p>
        </w:tc>
        <w:tc>
          <w:tcPr>
            <w:tcW w:w="4621" w:type="dxa"/>
          </w:tcPr>
          <w:p w:rsidR="000655D3" w:rsidRPr="000655D3" w:rsidRDefault="000655D3" w:rsidP="009A29E9">
            <w:pPr>
              <w:jc w:val="both"/>
              <w:rPr>
                <w:rFonts w:ascii="Arial" w:hAnsi="Arial"/>
                <w:sz w:val="22"/>
              </w:rPr>
            </w:pPr>
            <w:r w:rsidRPr="000655D3">
              <w:rPr>
                <w:rFonts w:ascii="Arial" w:hAnsi="Arial"/>
                <w:sz w:val="22"/>
              </w:rPr>
              <w:t>Количество участников, получающих негосударственную пенсию (тыс. чел.)</w:t>
            </w:r>
          </w:p>
        </w:tc>
        <w:tc>
          <w:tcPr>
            <w:tcW w:w="1361" w:type="dxa"/>
          </w:tcPr>
          <w:p w:rsidR="000655D3" w:rsidRPr="000655D3" w:rsidRDefault="00B62938" w:rsidP="009B7F09">
            <w:pPr>
              <w:jc w:val="center"/>
              <w:rPr>
                <w:rFonts w:ascii="Arial" w:hAnsi="Arial"/>
                <w:sz w:val="22"/>
              </w:rPr>
            </w:pPr>
            <w:r>
              <w:rPr>
                <w:rFonts w:ascii="Arial" w:hAnsi="Arial"/>
                <w:sz w:val="22"/>
              </w:rPr>
              <w:t>1026,2</w:t>
            </w:r>
          </w:p>
        </w:tc>
        <w:tc>
          <w:tcPr>
            <w:tcW w:w="1362" w:type="dxa"/>
          </w:tcPr>
          <w:p w:rsidR="000655D3" w:rsidRDefault="00B07F6C" w:rsidP="009B7F09">
            <w:pPr>
              <w:jc w:val="center"/>
              <w:rPr>
                <w:rFonts w:ascii="Arial" w:hAnsi="Arial"/>
                <w:sz w:val="22"/>
              </w:rPr>
            </w:pPr>
            <w:r>
              <w:rPr>
                <w:rFonts w:ascii="Arial" w:hAnsi="Arial"/>
                <w:sz w:val="22"/>
              </w:rPr>
              <w:t>1131,4</w:t>
            </w:r>
          </w:p>
        </w:tc>
        <w:tc>
          <w:tcPr>
            <w:tcW w:w="1410" w:type="dxa"/>
          </w:tcPr>
          <w:p w:rsidR="000655D3" w:rsidRDefault="00437B47" w:rsidP="009B7F09">
            <w:pPr>
              <w:jc w:val="center"/>
              <w:rPr>
                <w:rFonts w:ascii="Arial" w:hAnsi="Arial"/>
                <w:sz w:val="22"/>
              </w:rPr>
            </w:pPr>
            <w:r>
              <w:rPr>
                <w:rFonts w:ascii="Arial" w:hAnsi="Arial"/>
                <w:sz w:val="22"/>
              </w:rPr>
              <w:t>1537,1</w:t>
            </w:r>
          </w:p>
        </w:tc>
      </w:tr>
      <w:tr w:rsidR="000655D3" w:rsidTr="000655D3">
        <w:tc>
          <w:tcPr>
            <w:tcW w:w="817" w:type="dxa"/>
          </w:tcPr>
          <w:p w:rsidR="000655D3" w:rsidRDefault="000655D3" w:rsidP="009B7F09">
            <w:pPr>
              <w:jc w:val="center"/>
              <w:rPr>
                <w:rFonts w:ascii="Arial" w:hAnsi="Arial"/>
                <w:sz w:val="22"/>
              </w:rPr>
            </w:pPr>
            <w:r>
              <w:rPr>
                <w:rFonts w:ascii="Arial" w:hAnsi="Arial"/>
                <w:sz w:val="22"/>
              </w:rPr>
              <w:lastRenderedPageBreak/>
              <w:t>9</w:t>
            </w:r>
          </w:p>
        </w:tc>
        <w:tc>
          <w:tcPr>
            <w:tcW w:w="4621" w:type="dxa"/>
          </w:tcPr>
          <w:p w:rsidR="000655D3" w:rsidRPr="000655D3" w:rsidRDefault="000655D3" w:rsidP="009A29E9">
            <w:pPr>
              <w:jc w:val="both"/>
              <w:rPr>
                <w:rFonts w:ascii="Arial" w:hAnsi="Arial"/>
                <w:sz w:val="22"/>
              </w:rPr>
            </w:pPr>
            <w:r w:rsidRPr="000655D3">
              <w:rPr>
                <w:rFonts w:ascii="Arial" w:hAnsi="Arial"/>
                <w:sz w:val="22"/>
              </w:rPr>
              <w:t>Сумма пенсионных взносов за истекший год (млн. руб.)</w:t>
            </w:r>
          </w:p>
        </w:tc>
        <w:tc>
          <w:tcPr>
            <w:tcW w:w="1361" w:type="dxa"/>
          </w:tcPr>
          <w:p w:rsidR="000655D3" w:rsidRPr="000655D3" w:rsidRDefault="00B62938" w:rsidP="009B7F09">
            <w:pPr>
              <w:jc w:val="center"/>
              <w:rPr>
                <w:rFonts w:ascii="Arial" w:hAnsi="Arial"/>
                <w:sz w:val="22"/>
              </w:rPr>
            </w:pPr>
            <w:r>
              <w:rPr>
                <w:rFonts w:ascii="Arial" w:hAnsi="Arial"/>
                <w:sz w:val="22"/>
              </w:rPr>
              <w:t>56397,2</w:t>
            </w:r>
          </w:p>
        </w:tc>
        <w:tc>
          <w:tcPr>
            <w:tcW w:w="1362" w:type="dxa"/>
          </w:tcPr>
          <w:p w:rsidR="000655D3" w:rsidRDefault="00DC545D" w:rsidP="009B7F09">
            <w:pPr>
              <w:jc w:val="center"/>
              <w:rPr>
                <w:rFonts w:ascii="Arial" w:hAnsi="Arial"/>
                <w:sz w:val="22"/>
              </w:rPr>
            </w:pPr>
            <w:r>
              <w:rPr>
                <w:rFonts w:ascii="Arial" w:hAnsi="Arial"/>
                <w:sz w:val="22"/>
              </w:rPr>
              <w:t>55966,2</w:t>
            </w:r>
          </w:p>
        </w:tc>
        <w:tc>
          <w:tcPr>
            <w:tcW w:w="1410" w:type="dxa"/>
          </w:tcPr>
          <w:p w:rsidR="000655D3" w:rsidRDefault="00434C8A" w:rsidP="009B7F09">
            <w:pPr>
              <w:jc w:val="center"/>
              <w:rPr>
                <w:rFonts w:ascii="Arial" w:hAnsi="Arial"/>
                <w:sz w:val="22"/>
              </w:rPr>
            </w:pPr>
            <w:r>
              <w:rPr>
                <w:rFonts w:ascii="Arial" w:hAnsi="Arial"/>
                <w:sz w:val="22"/>
              </w:rPr>
              <w:t>80585,7</w:t>
            </w:r>
          </w:p>
        </w:tc>
      </w:tr>
      <w:tr w:rsidR="000655D3" w:rsidTr="000655D3">
        <w:tc>
          <w:tcPr>
            <w:tcW w:w="817" w:type="dxa"/>
          </w:tcPr>
          <w:p w:rsidR="000655D3" w:rsidRDefault="000655D3" w:rsidP="009B7F09">
            <w:pPr>
              <w:jc w:val="center"/>
              <w:rPr>
                <w:rFonts w:ascii="Arial" w:hAnsi="Arial"/>
                <w:sz w:val="22"/>
              </w:rPr>
            </w:pPr>
            <w:r>
              <w:rPr>
                <w:rFonts w:ascii="Arial" w:hAnsi="Arial"/>
                <w:sz w:val="22"/>
              </w:rPr>
              <w:t>10</w:t>
            </w:r>
          </w:p>
        </w:tc>
        <w:tc>
          <w:tcPr>
            <w:tcW w:w="4621" w:type="dxa"/>
          </w:tcPr>
          <w:p w:rsidR="000655D3" w:rsidRPr="000655D3" w:rsidRDefault="000655D3" w:rsidP="009A29E9">
            <w:pPr>
              <w:jc w:val="both"/>
              <w:rPr>
                <w:rFonts w:ascii="Arial" w:hAnsi="Arial"/>
                <w:sz w:val="22"/>
              </w:rPr>
            </w:pPr>
            <w:r w:rsidRPr="000655D3">
              <w:rPr>
                <w:rFonts w:ascii="Arial" w:hAnsi="Arial"/>
                <w:sz w:val="22"/>
              </w:rPr>
              <w:t>Сумма пенсионных выплат за истекший год (млн. руб.)</w:t>
            </w:r>
          </w:p>
        </w:tc>
        <w:tc>
          <w:tcPr>
            <w:tcW w:w="1361" w:type="dxa"/>
          </w:tcPr>
          <w:p w:rsidR="000655D3" w:rsidRPr="000655D3" w:rsidRDefault="00B62938" w:rsidP="009B7F09">
            <w:pPr>
              <w:jc w:val="center"/>
              <w:rPr>
                <w:rFonts w:ascii="Arial" w:hAnsi="Arial"/>
                <w:sz w:val="22"/>
              </w:rPr>
            </w:pPr>
            <w:r>
              <w:rPr>
                <w:rFonts w:ascii="Arial" w:hAnsi="Arial"/>
                <w:sz w:val="22"/>
              </w:rPr>
              <w:t>13842,8</w:t>
            </w:r>
          </w:p>
        </w:tc>
        <w:tc>
          <w:tcPr>
            <w:tcW w:w="1362" w:type="dxa"/>
          </w:tcPr>
          <w:p w:rsidR="000655D3" w:rsidRDefault="00B07F6C" w:rsidP="009B7F09">
            <w:pPr>
              <w:jc w:val="center"/>
              <w:rPr>
                <w:rFonts w:ascii="Arial" w:hAnsi="Arial"/>
                <w:sz w:val="22"/>
              </w:rPr>
            </w:pPr>
            <w:r>
              <w:rPr>
                <w:rFonts w:ascii="Arial" w:hAnsi="Arial"/>
                <w:sz w:val="22"/>
              </w:rPr>
              <w:t>17515,3</w:t>
            </w:r>
          </w:p>
        </w:tc>
        <w:tc>
          <w:tcPr>
            <w:tcW w:w="1410" w:type="dxa"/>
          </w:tcPr>
          <w:p w:rsidR="000655D3" w:rsidRDefault="00437B47" w:rsidP="009B7F09">
            <w:pPr>
              <w:jc w:val="center"/>
              <w:rPr>
                <w:rFonts w:ascii="Arial" w:hAnsi="Arial"/>
                <w:sz w:val="22"/>
              </w:rPr>
            </w:pPr>
            <w:r>
              <w:rPr>
                <w:rFonts w:ascii="Arial" w:hAnsi="Arial"/>
                <w:sz w:val="22"/>
              </w:rPr>
              <w:t>36648,6</w:t>
            </w:r>
          </w:p>
        </w:tc>
      </w:tr>
    </w:tbl>
    <w:p w:rsidR="00234D82" w:rsidRDefault="00234D82" w:rsidP="009A29E9">
      <w:pPr>
        <w:ind w:firstLine="709"/>
        <w:jc w:val="both"/>
        <w:rPr>
          <w:rFonts w:ascii="Arial" w:hAnsi="Arial"/>
          <w:sz w:val="22"/>
        </w:rPr>
      </w:pPr>
    </w:p>
    <w:p w:rsidR="00056704" w:rsidRDefault="00D12FF4" w:rsidP="009A29E9">
      <w:pPr>
        <w:ind w:firstLine="709"/>
        <w:jc w:val="both"/>
        <w:rPr>
          <w:rFonts w:ascii="Arial" w:hAnsi="Arial"/>
          <w:sz w:val="22"/>
        </w:rPr>
      </w:pPr>
      <w:r>
        <w:rPr>
          <w:rFonts w:ascii="Arial" w:hAnsi="Arial"/>
          <w:sz w:val="22"/>
        </w:rPr>
        <w:t xml:space="preserve">По итогам кампании 2012 года </w:t>
      </w:r>
      <w:r w:rsidR="00056704" w:rsidRPr="00056704">
        <w:rPr>
          <w:rFonts w:ascii="Arial" w:hAnsi="Arial"/>
          <w:sz w:val="22"/>
        </w:rPr>
        <w:t>пенсионные средства граждан (сумма пенсионных резервов и пенсионных накоплений), аккумулированные в негосударственных пенсионных фондах, превыс</w:t>
      </w:r>
      <w:r>
        <w:rPr>
          <w:rFonts w:ascii="Arial" w:hAnsi="Arial"/>
          <w:sz w:val="22"/>
        </w:rPr>
        <w:t>ят</w:t>
      </w:r>
      <w:r w:rsidR="00056704" w:rsidRPr="00056704">
        <w:rPr>
          <w:rFonts w:ascii="Arial" w:hAnsi="Arial"/>
          <w:sz w:val="22"/>
        </w:rPr>
        <w:t xml:space="preserve"> 1</w:t>
      </w:r>
      <w:r>
        <w:rPr>
          <w:rFonts w:ascii="Arial" w:hAnsi="Arial"/>
          <w:sz w:val="22"/>
        </w:rPr>
        <w:t>,5</w:t>
      </w:r>
      <w:r w:rsidR="00056704" w:rsidRPr="00056704">
        <w:rPr>
          <w:rFonts w:ascii="Arial" w:hAnsi="Arial"/>
          <w:sz w:val="22"/>
        </w:rPr>
        <w:t xml:space="preserve"> триллион</w:t>
      </w:r>
      <w:r>
        <w:rPr>
          <w:rFonts w:ascii="Arial" w:hAnsi="Arial"/>
          <w:sz w:val="22"/>
        </w:rPr>
        <w:t>а</w:t>
      </w:r>
      <w:r w:rsidR="00056704" w:rsidRPr="00056704">
        <w:rPr>
          <w:rFonts w:ascii="Arial" w:hAnsi="Arial"/>
          <w:sz w:val="22"/>
        </w:rPr>
        <w:t xml:space="preserve"> рублей и состав</w:t>
      </w:r>
      <w:r>
        <w:rPr>
          <w:rFonts w:ascii="Arial" w:hAnsi="Arial"/>
          <w:sz w:val="22"/>
        </w:rPr>
        <w:t>ят</w:t>
      </w:r>
      <w:r w:rsidR="00056704" w:rsidRPr="00056704">
        <w:rPr>
          <w:rFonts w:ascii="Arial" w:hAnsi="Arial"/>
          <w:sz w:val="22"/>
        </w:rPr>
        <w:t xml:space="preserve"> 1</w:t>
      </w:r>
      <w:r w:rsidR="002304A8">
        <w:rPr>
          <w:rFonts w:ascii="Arial" w:hAnsi="Arial"/>
          <w:sz w:val="22"/>
        </w:rPr>
        <w:t>578</w:t>
      </w:r>
      <w:r w:rsidR="00056704" w:rsidRPr="00056704">
        <w:rPr>
          <w:rFonts w:ascii="Arial" w:hAnsi="Arial"/>
          <w:sz w:val="22"/>
        </w:rPr>
        <w:t xml:space="preserve"> млрд. рублей.</w:t>
      </w:r>
    </w:p>
    <w:p w:rsidR="00662748" w:rsidRDefault="00662748"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r w:rsidRPr="009A29E9">
        <w:rPr>
          <w:rFonts w:ascii="Arial" w:hAnsi="Arial"/>
          <w:sz w:val="22"/>
        </w:rPr>
        <w:t>По сравнению с концом докризисного 2007 года (1 января 2008 года)</w:t>
      </w:r>
    </w:p>
    <w:p w:rsidR="00BF174B" w:rsidRPr="00DC545D" w:rsidRDefault="00BF174B" w:rsidP="00DC545D">
      <w:pPr>
        <w:pStyle w:val="a7"/>
        <w:numPr>
          <w:ilvl w:val="0"/>
          <w:numId w:val="1"/>
        </w:numPr>
        <w:jc w:val="both"/>
        <w:rPr>
          <w:rFonts w:ascii="Arial" w:hAnsi="Arial"/>
          <w:sz w:val="22"/>
        </w:rPr>
      </w:pPr>
      <w:r w:rsidRPr="00DC545D">
        <w:rPr>
          <w:rFonts w:ascii="Arial" w:hAnsi="Arial"/>
          <w:sz w:val="22"/>
        </w:rPr>
        <w:t xml:space="preserve">пенсионные резервы выросли на </w:t>
      </w:r>
      <w:r w:rsidR="002304A8">
        <w:rPr>
          <w:rFonts w:ascii="Arial" w:hAnsi="Arial"/>
          <w:sz w:val="22"/>
        </w:rPr>
        <w:t>60,3</w:t>
      </w:r>
      <w:r w:rsidRPr="00DC545D">
        <w:rPr>
          <w:rFonts w:ascii="Arial" w:hAnsi="Arial"/>
          <w:sz w:val="22"/>
        </w:rPr>
        <w:t>%</w:t>
      </w:r>
    </w:p>
    <w:p w:rsidR="00DC545D" w:rsidRPr="00CF057C" w:rsidRDefault="00DC545D" w:rsidP="00DC545D">
      <w:pPr>
        <w:pStyle w:val="a7"/>
        <w:numPr>
          <w:ilvl w:val="0"/>
          <w:numId w:val="1"/>
        </w:numPr>
        <w:jc w:val="both"/>
        <w:rPr>
          <w:rFonts w:ascii="Arial" w:hAnsi="Arial"/>
          <w:sz w:val="22"/>
        </w:rPr>
      </w:pPr>
      <w:r w:rsidRPr="00DC545D">
        <w:rPr>
          <w:rFonts w:ascii="Arial" w:hAnsi="Arial"/>
          <w:sz w:val="22"/>
        </w:rPr>
        <w:t xml:space="preserve">пенсионные взносы выросли на </w:t>
      </w:r>
      <w:r w:rsidR="00CF057C" w:rsidRPr="00CF057C">
        <w:rPr>
          <w:rFonts w:ascii="Arial" w:hAnsi="Arial"/>
          <w:sz w:val="22"/>
        </w:rPr>
        <w:t>42,</w:t>
      </w:r>
      <w:r w:rsidR="00CF057C">
        <w:rPr>
          <w:rFonts w:ascii="Arial" w:hAnsi="Arial"/>
          <w:sz w:val="22"/>
        </w:rPr>
        <w:t>9</w:t>
      </w:r>
      <w:r w:rsidRPr="00CF057C">
        <w:rPr>
          <w:rFonts w:ascii="Arial" w:hAnsi="Arial"/>
          <w:sz w:val="22"/>
        </w:rPr>
        <w:t>%;</w:t>
      </w:r>
    </w:p>
    <w:p w:rsidR="00BF174B" w:rsidRPr="00DC545D" w:rsidRDefault="00BF174B" w:rsidP="00DC545D">
      <w:pPr>
        <w:pStyle w:val="a7"/>
        <w:numPr>
          <w:ilvl w:val="0"/>
          <w:numId w:val="1"/>
        </w:numPr>
        <w:jc w:val="both"/>
        <w:rPr>
          <w:rFonts w:ascii="Arial" w:hAnsi="Arial"/>
          <w:sz w:val="22"/>
        </w:rPr>
      </w:pPr>
      <w:r w:rsidRPr="00DC545D">
        <w:rPr>
          <w:rFonts w:ascii="Arial" w:hAnsi="Arial"/>
          <w:sz w:val="22"/>
        </w:rPr>
        <w:t>фонды продолжали устойчиво наращивать выплату негосударственных пенсий:</w:t>
      </w:r>
    </w:p>
    <w:p w:rsidR="00BF174B" w:rsidRPr="00DC545D" w:rsidRDefault="00BF174B" w:rsidP="002304A8">
      <w:pPr>
        <w:pStyle w:val="a7"/>
        <w:numPr>
          <w:ilvl w:val="1"/>
          <w:numId w:val="1"/>
        </w:numPr>
        <w:jc w:val="both"/>
        <w:rPr>
          <w:rFonts w:ascii="Arial" w:hAnsi="Arial"/>
          <w:sz w:val="22"/>
        </w:rPr>
      </w:pPr>
      <w:r w:rsidRPr="00DC545D">
        <w:rPr>
          <w:rFonts w:ascii="Arial" w:hAnsi="Arial"/>
          <w:sz w:val="22"/>
        </w:rPr>
        <w:t xml:space="preserve">число пенсионеров выросло с 1026,2 тыс. чел до </w:t>
      </w:r>
      <w:r w:rsidR="002304A8" w:rsidRPr="002304A8">
        <w:rPr>
          <w:rFonts w:ascii="Arial" w:hAnsi="Arial"/>
          <w:sz w:val="22"/>
        </w:rPr>
        <w:t>1537,1</w:t>
      </w:r>
      <w:r w:rsidR="002304A8">
        <w:rPr>
          <w:rFonts w:ascii="Arial" w:hAnsi="Arial"/>
          <w:sz w:val="22"/>
        </w:rPr>
        <w:t xml:space="preserve"> </w:t>
      </w:r>
      <w:r w:rsidRPr="00DC545D">
        <w:rPr>
          <w:rFonts w:ascii="Arial" w:hAnsi="Arial"/>
          <w:sz w:val="22"/>
        </w:rPr>
        <w:t>тыс. чел.</w:t>
      </w:r>
      <w:r w:rsidR="00073C55">
        <w:rPr>
          <w:rFonts w:ascii="Arial" w:hAnsi="Arial"/>
          <w:sz w:val="22"/>
        </w:rPr>
        <w:t>;</w:t>
      </w:r>
    </w:p>
    <w:p w:rsidR="00DC545D" w:rsidRPr="00DC545D" w:rsidRDefault="00BF174B" w:rsidP="00DC545D">
      <w:pPr>
        <w:pStyle w:val="a7"/>
        <w:numPr>
          <w:ilvl w:val="1"/>
          <w:numId w:val="1"/>
        </w:numPr>
        <w:jc w:val="both"/>
        <w:rPr>
          <w:rFonts w:ascii="Arial" w:hAnsi="Arial"/>
          <w:sz w:val="22"/>
        </w:rPr>
      </w:pPr>
      <w:r w:rsidRPr="00DC545D">
        <w:rPr>
          <w:rFonts w:ascii="Arial" w:hAnsi="Arial"/>
          <w:sz w:val="22"/>
        </w:rPr>
        <w:t xml:space="preserve">пенсионные выплаты выросли в </w:t>
      </w:r>
      <w:r w:rsidR="00B07F6C" w:rsidRPr="00DC545D">
        <w:rPr>
          <w:rFonts w:ascii="Arial" w:hAnsi="Arial"/>
          <w:sz w:val="22"/>
        </w:rPr>
        <w:t>2,</w:t>
      </w:r>
      <w:r w:rsidR="002304A8">
        <w:rPr>
          <w:rFonts w:ascii="Arial" w:hAnsi="Arial"/>
          <w:sz w:val="22"/>
        </w:rPr>
        <w:t>65</w:t>
      </w:r>
      <w:r w:rsidRPr="00DC545D">
        <w:rPr>
          <w:rFonts w:ascii="Arial" w:hAnsi="Arial"/>
          <w:sz w:val="22"/>
        </w:rPr>
        <w:t xml:space="preserve"> раза</w:t>
      </w:r>
      <w:r w:rsidR="00B07F6C" w:rsidRPr="00DC545D">
        <w:rPr>
          <w:rFonts w:ascii="Arial" w:hAnsi="Arial"/>
          <w:sz w:val="22"/>
        </w:rPr>
        <w:t xml:space="preserve">, а средний размер выплачиваемой фондами негосударственной пенсии – </w:t>
      </w:r>
      <w:r w:rsidR="00292962" w:rsidRPr="00DC545D">
        <w:rPr>
          <w:rFonts w:ascii="Arial" w:hAnsi="Arial"/>
          <w:sz w:val="22"/>
        </w:rPr>
        <w:t>в 1,</w:t>
      </w:r>
      <w:r w:rsidR="002304A8">
        <w:rPr>
          <w:rFonts w:ascii="Arial" w:hAnsi="Arial"/>
          <w:sz w:val="22"/>
        </w:rPr>
        <w:t>77</w:t>
      </w:r>
      <w:r w:rsidR="00292962" w:rsidRPr="00DC545D">
        <w:rPr>
          <w:rFonts w:ascii="Arial" w:hAnsi="Arial"/>
          <w:sz w:val="22"/>
        </w:rPr>
        <w:t xml:space="preserve"> раза (с 1124 до 1</w:t>
      </w:r>
      <w:r w:rsidR="002304A8">
        <w:rPr>
          <w:rFonts w:ascii="Arial" w:hAnsi="Arial"/>
          <w:sz w:val="22"/>
        </w:rPr>
        <w:t>987</w:t>
      </w:r>
      <w:r w:rsidR="00292962" w:rsidRPr="00DC545D">
        <w:rPr>
          <w:rFonts w:ascii="Arial" w:hAnsi="Arial"/>
          <w:sz w:val="22"/>
        </w:rPr>
        <w:t xml:space="preserve"> рублей в месяц)</w:t>
      </w:r>
      <w:r w:rsidR="00DC545D" w:rsidRPr="00DC545D">
        <w:rPr>
          <w:rFonts w:ascii="Arial" w:hAnsi="Arial"/>
          <w:sz w:val="22"/>
        </w:rPr>
        <w:t>;</w:t>
      </w:r>
    </w:p>
    <w:p w:rsidR="00BF174B" w:rsidRPr="00834564" w:rsidRDefault="00DC545D" w:rsidP="00DC545D">
      <w:pPr>
        <w:pStyle w:val="a7"/>
        <w:numPr>
          <w:ilvl w:val="0"/>
          <w:numId w:val="1"/>
        </w:numPr>
        <w:jc w:val="both"/>
        <w:rPr>
          <w:rFonts w:ascii="Arial" w:hAnsi="Arial"/>
          <w:sz w:val="22"/>
        </w:rPr>
      </w:pPr>
      <w:r w:rsidRPr="00DC545D">
        <w:rPr>
          <w:rFonts w:ascii="Arial" w:hAnsi="Arial"/>
          <w:sz w:val="22"/>
        </w:rPr>
        <w:t xml:space="preserve">число застрахованных лиц, формирующих накопительную часть пенсии в НПФ, выросло в </w:t>
      </w:r>
      <w:r w:rsidR="002304A8">
        <w:rPr>
          <w:rFonts w:ascii="Arial" w:hAnsi="Arial"/>
          <w:sz w:val="22"/>
        </w:rPr>
        <w:t>8,8</w:t>
      </w:r>
      <w:r w:rsidRPr="00DC545D">
        <w:rPr>
          <w:rFonts w:ascii="Arial" w:hAnsi="Arial"/>
          <w:sz w:val="22"/>
        </w:rPr>
        <w:t xml:space="preserve"> раза, а с учетом застрахованных лиц, п</w:t>
      </w:r>
      <w:r w:rsidR="002304A8">
        <w:rPr>
          <w:rFonts w:ascii="Arial" w:hAnsi="Arial"/>
          <w:sz w:val="22"/>
        </w:rPr>
        <w:t>ерешедших</w:t>
      </w:r>
      <w:r w:rsidRPr="00DC545D">
        <w:rPr>
          <w:rFonts w:ascii="Arial" w:hAnsi="Arial"/>
          <w:sz w:val="22"/>
        </w:rPr>
        <w:t xml:space="preserve"> по итогам 201</w:t>
      </w:r>
      <w:r w:rsidR="002304A8">
        <w:rPr>
          <w:rFonts w:ascii="Arial" w:hAnsi="Arial"/>
          <w:sz w:val="22"/>
        </w:rPr>
        <w:t>2</w:t>
      </w:r>
      <w:r w:rsidRPr="00DC545D">
        <w:rPr>
          <w:rFonts w:ascii="Arial" w:hAnsi="Arial"/>
          <w:sz w:val="22"/>
        </w:rPr>
        <w:t xml:space="preserve"> года ПФР в НПФ, в </w:t>
      </w:r>
      <w:r w:rsidR="002304A8">
        <w:rPr>
          <w:rFonts w:ascii="Arial" w:hAnsi="Arial"/>
          <w:sz w:val="22"/>
        </w:rPr>
        <w:t>10,6</w:t>
      </w:r>
      <w:r w:rsidRPr="00DC545D">
        <w:rPr>
          <w:rFonts w:ascii="Arial" w:hAnsi="Arial"/>
          <w:sz w:val="22"/>
        </w:rPr>
        <w:t xml:space="preserve"> раза и превысило </w:t>
      </w:r>
      <w:r w:rsidR="002304A8">
        <w:rPr>
          <w:rFonts w:ascii="Arial" w:hAnsi="Arial"/>
          <w:sz w:val="22"/>
        </w:rPr>
        <w:t>20,0</w:t>
      </w:r>
      <w:r w:rsidRPr="00DC545D">
        <w:rPr>
          <w:rFonts w:ascii="Arial" w:hAnsi="Arial"/>
          <w:sz w:val="22"/>
        </w:rPr>
        <w:t xml:space="preserve"> млн. человек</w:t>
      </w:r>
      <w:r w:rsidR="00BF174B" w:rsidRPr="00DC545D">
        <w:rPr>
          <w:rFonts w:ascii="Arial" w:hAnsi="Arial"/>
          <w:sz w:val="22"/>
        </w:rPr>
        <w:t xml:space="preserve"> </w:t>
      </w:r>
    </w:p>
    <w:p w:rsidR="00834564" w:rsidRPr="00834564" w:rsidRDefault="00834564" w:rsidP="00834564">
      <w:pPr>
        <w:pStyle w:val="a7"/>
        <w:numPr>
          <w:ilvl w:val="0"/>
          <w:numId w:val="1"/>
        </w:numPr>
        <w:rPr>
          <w:rFonts w:ascii="Arial" w:hAnsi="Arial"/>
          <w:sz w:val="22"/>
        </w:rPr>
      </w:pPr>
      <w:r w:rsidRPr="00834564">
        <w:rPr>
          <w:rFonts w:ascii="Arial" w:hAnsi="Arial"/>
          <w:sz w:val="22"/>
        </w:rPr>
        <w:t xml:space="preserve">пенсионные накопления выросли в </w:t>
      </w:r>
      <w:r w:rsidR="002304A8">
        <w:rPr>
          <w:rFonts w:ascii="Arial" w:hAnsi="Arial"/>
          <w:sz w:val="22"/>
        </w:rPr>
        <w:t>25,2</w:t>
      </w:r>
      <w:r w:rsidRPr="00834564">
        <w:rPr>
          <w:rFonts w:ascii="Arial" w:hAnsi="Arial"/>
          <w:sz w:val="22"/>
        </w:rPr>
        <w:t xml:space="preserve"> раза, а с учетом средств, поступивших в феврале – мае 201</w:t>
      </w:r>
      <w:r w:rsidR="002304A8">
        <w:rPr>
          <w:rFonts w:ascii="Arial" w:hAnsi="Arial"/>
          <w:sz w:val="22"/>
        </w:rPr>
        <w:t>3</w:t>
      </w:r>
      <w:r w:rsidRPr="00834564">
        <w:rPr>
          <w:rFonts w:ascii="Arial" w:hAnsi="Arial"/>
          <w:sz w:val="22"/>
        </w:rPr>
        <w:t xml:space="preserve"> года – более чем в </w:t>
      </w:r>
      <w:r w:rsidR="002304A8">
        <w:rPr>
          <w:rFonts w:ascii="Arial" w:hAnsi="Arial"/>
          <w:sz w:val="22"/>
        </w:rPr>
        <w:t>28,6</w:t>
      </w:r>
      <w:r w:rsidRPr="00834564">
        <w:rPr>
          <w:rFonts w:ascii="Arial" w:hAnsi="Arial"/>
          <w:sz w:val="22"/>
        </w:rPr>
        <w:t xml:space="preserve"> раза</w:t>
      </w:r>
    </w:p>
    <w:p w:rsidR="00834564" w:rsidRPr="00DB18D5" w:rsidRDefault="00834564" w:rsidP="009A29E9">
      <w:pPr>
        <w:ind w:firstLine="709"/>
        <w:jc w:val="both"/>
        <w:rPr>
          <w:rFonts w:ascii="Arial" w:hAnsi="Arial"/>
          <w:sz w:val="22"/>
        </w:rPr>
      </w:pPr>
    </w:p>
    <w:p w:rsidR="00103DF6" w:rsidRDefault="003A658A" w:rsidP="009A29E9">
      <w:pPr>
        <w:ind w:firstLine="709"/>
        <w:jc w:val="both"/>
        <w:rPr>
          <w:rFonts w:ascii="Arial" w:hAnsi="Arial"/>
          <w:sz w:val="22"/>
        </w:rPr>
      </w:pPr>
      <w:r>
        <w:rPr>
          <w:rFonts w:ascii="Arial" w:hAnsi="Arial"/>
          <w:sz w:val="22"/>
        </w:rPr>
        <w:t>Н</w:t>
      </w:r>
      <w:r w:rsidR="004544F6">
        <w:rPr>
          <w:rFonts w:ascii="Arial" w:hAnsi="Arial"/>
          <w:sz w:val="22"/>
        </w:rPr>
        <w:t>есмотря на</w:t>
      </w:r>
      <w:r w:rsidR="00834564">
        <w:rPr>
          <w:rFonts w:ascii="Arial" w:hAnsi="Arial"/>
          <w:sz w:val="22"/>
        </w:rPr>
        <w:t xml:space="preserve"> сокращени</w:t>
      </w:r>
      <w:r w:rsidR="004544F6">
        <w:rPr>
          <w:rFonts w:ascii="Arial" w:hAnsi="Arial"/>
          <w:sz w:val="22"/>
        </w:rPr>
        <w:t>е</w:t>
      </w:r>
      <w:r w:rsidR="00834564">
        <w:rPr>
          <w:rFonts w:ascii="Arial" w:hAnsi="Arial"/>
          <w:sz w:val="22"/>
        </w:rPr>
        <w:t xml:space="preserve"> общего количества фондов с 240 до 1</w:t>
      </w:r>
      <w:r w:rsidR="00073C55">
        <w:rPr>
          <w:rFonts w:ascii="Arial" w:hAnsi="Arial"/>
          <w:sz w:val="22"/>
        </w:rPr>
        <w:t>34</w:t>
      </w:r>
      <w:r>
        <w:rPr>
          <w:rFonts w:ascii="Arial" w:hAnsi="Arial"/>
          <w:sz w:val="22"/>
        </w:rPr>
        <w:t xml:space="preserve"> </w:t>
      </w:r>
      <w:r w:rsidRPr="003A658A">
        <w:rPr>
          <w:rFonts w:ascii="Arial" w:hAnsi="Arial"/>
          <w:sz w:val="22"/>
        </w:rPr>
        <w:t xml:space="preserve">докризисный размер ИОУД </w:t>
      </w:r>
      <w:r>
        <w:rPr>
          <w:rFonts w:ascii="Arial" w:hAnsi="Arial"/>
          <w:sz w:val="22"/>
        </w:rPr>
        <w:t>в</w:t>
      </w:r>
      <w:r w:rsidRPr="003A658A">
        <w:rPr>
          <w:rFonts w:ascii="Arial" w:hAnsi="Arial"/>
          <w:sz w:val="22"/>
        </w:rPr>
        <w:t xml:space="preserve">осстановлен полностью и превысил </w:t>
      </w:r>
      <w:r>
        <w:rPr>
          <w:rFonts w:ascii="Arial" w:hAnsi="Arial"/>
          <w:sz w:val="22"/>
        </w:rPr>
        <w:t>суммарный размер ИОУД на 1.01.2008 года на 14</w:t>
      </w:r>
      <w:r w:rsidRPr="003A658A">
        <w:rPr>
          <w:rFonts w:ascii="Arial" w:hAnsi="Arial"/>
          <w:sz w:val="22"/>
        </w:rPr>
        <w:t>%</w:t>
      </w:r>
      <w:r>
        <w:rPr>
          <w:rStyle w:val="a6"/>
          <w:rFonts w:ascii="Arial" w:hAnsi="Arial"/>
          <w:sz w:val="22"/>
        </w:rPr>
        <w:footnoteReference w:id="2"/>
      </w:r>
      <w:r w:rsidR="00056704" w:rsidRPr="00056704">
        <w:rPr>
          <w:rFonts w:ascii="Arial" w:hAnsi="Arial"/>
          <w:sz w:val="22"/>
        </w:rPr>
        <w:t>.</w:t>
      </w:r>
    </w:p>
    <w:p w:rsidR="00103DF6" w:rsidRDefault="00103DF6" w:rsidP="009A29E9">
      <w:pPr>
        <w:ind w:firstLine="709"/>
        <w:jc w:val="both"/>
        <w:rPr>
          <w:rFonts w:ascii="Arial" w:hAnsi="Arial"/>
          <w:sz w:val="22"/>
        </w:rPr>
      </w:pPr>
      <w:r>
        <w:rPr>
          <w:rFonts w:ascii="Arial" w:hAnsi="Arial"/>
          <w:sz w:val="22"/>
        </w:rPr>
        <w:t>В 201</w:t>
      </w:r>
      <w:r w:rsidR="00073C55">
        <w:rPr>
          <w:rFonts w:ascii="Arial" w:hAnsi="Arial"/>
          <w:sz w:val="22"/>
        </w:rPr>
        <w:t>2</w:t>
      </w:r>
      <w:r>
        <w:rPr>
          <w:rFonts w:ascii="Arial" w:hAnsi="Arial"/>
          <w:sz w:val="22"/>
        </w:rPr>
        <w:t xml:space="preserve"> году продолжались мероприятия по повышению надежности негосударственных пенсионных фондов. В частности, существенно повыш</w:t>
      </w:r>
      <w:r w:rsidR="00073C55">
        <w:rPr>
          <w:rFonts w:ascii="Arial" w:hAnsi="Arial"/>
          <w:sz w:val="22"/>
        </w:rPr>
        <w:t>ены</w:t>
      </w:r>
      <w:r>
        <w:rPr>
          <w:rFonts w:ascii="Arial" w:hAnsi="Arial"/>
          <w:sz w:val="22"/>
        </w:rPr>
        <w:t xml:space="preserve"> требования к размеру имущества для обеспечения уставной деятельности. С</w:t>
      </w:r>
      <w:r w:rsidRPr="00103DF6">
        <w:rPr>
          <w:rFonts w:ascii="Arial" w:hAnsi="Arial"/>
          <w:sz w:val="22"/>
        </w:rPr>
        <w:t xml:space="preserve"> 1 июля 2012 года</w:t>
      </w:r>
      <w:r>
        <w:rPr>
          <w:rFonts w:ascii="Arial" w:hAnsi="Arial"/>
          <w:sz w:val="22"/>
        </w:rPr>
        <w:t xml:space="preserve"> фонды – страховщики по ОПС </w:t>
      </w:r>
      <w:r w:rsidRPr="00103DF6">
        <w:rPr>
          <w:rFonts w:ascii="Arial" w:hAnsi="Arial"/>
          <w:sz w:val="22"/>
        </w:rPr>
        <w:t>должны иметь величину денежной оценки имущества для обеспечения уставной деятельности фонда</w:t>
      </w:r>
      <w:r>
        <w:rPr>
          <w:rFonts w:ascii="Arial" w:hAnsi="Arial"/>
          <w:sz w:val="22"/>
        </w:rPr>
        <w:t xml:space="preserve"> </w:t>
      </w:r>
      <w:r w:rsidRPr="00103DF6">
        <w:rPr>
          <w:rFonts w:ascii="Arial" w:hAnsi="Arial"/>
          <w:sz w:val="22"/>
        </w:rPr>
        <w:t>не менее 100 млн</w:t>
      </w:r>
      <w:r w:rsidR="00073C55">
        <w:rPr>
          <w:rFonts w:ascii="Arial" w:hAnsi="Arial"/>
          <w:sz w:val="22"/>
        </w:rPr>
        <w:t>.</w:t>
      </w:r>
      <w:r w:rsidRPr="00103DF6">
        <w:rPr>
          <w:rFonts w:ascii="Arial" w:hAnsi="Arial"/>
          <w:sz w:val="22"/>
        </w:rPr>
        <w:t xml:space="preserve"> рублей</w:t>
      </w:r>
      <w:r>
        <w:rPr>
          <w:rFonts w:ascii="Arial" w:hAnsi="Arial"/>
          <w:sz w:val="22"/>
        </w:rPr>
        <w:t xml:space="preserve">  не только </w:t>
      </w:r>
      <w:r w:rsidR="004544F6">
        <w:rPr>
          <w:rFonts w:ascii="Arial" w:hAnsi="Arial"/>
          <w:sz w:val="22"/>
        </w:rPr>
        <w:t>в</w:t>
      </w:r>
      <w:r w:rsidRPr="00103DF6">
        <w:rPr>
          <w:rFonts w:ascii="Arial" w:hAnsi="Arial"/>
          <w:sz w:val="22"/>
        </w:rPr>
        <w:t xml:space="preserve"> момент подачи заявления о намерении осуществлять деятельность по обязательному пенсионному страхованию в качестве страховщика</w:t>
      </w:r>
      <w:r>
        <w:rPr>
          <w:rFonts w:ascii="Arial" w:hAnsi="Arial"/>
          <w:sz w:val="22"/>
        </w:rPr>
        <w:t xml:space="preserve">, но и в течение всего времени осуществления такой деятельности. </w:t>
      </w:r>
    </w:p>
    <w:p w:rsidR="00BF174B" w:rsidRDefault="009950FB" w:rsidP="009A29E9">
      <w:pPr>
        <w:ind w:firstLine="709"/>
        <w:jc w:val="both"/>
        <w:rPr>
          <w:rFonts w:ascii="Arial" w:hAnsi="Arial"/>
          <w:sz w:val="22"/>
        </w:rPr>
      </w:pPr>
      <w:r w:rsidRPr="00EB654F">
        <w:rPr>
          <w:rFonts w:ascii="Arial" w:hAnsi="Arial"/>
          <w:sz w:val="22"/>
        </w:rPr>
        <w:t>По состоянию на 1.01</w:t>
      </w:r>
      <w:r w:rsidR="000F63D8" w:rsidRPr="00EB654F">
        <w:rPr>
          <w:rFonts w:ascii="Arial" w:hAnsi="Arial"/>
          <w:sz w:val="22"/>
        </w:rPr>
        <w:t>.</w:t>
      </w:r>
      <w:r w:rsidRPr="00EB654F">
        <w:rPr>
          <w:rFonts w:ascii="Arial" w:hAnsi="Arial"/>
          <w:sz w:val="22"/>
        </w:rPr>
        <w:t>201</w:t>
      </w:r>
      <w:r w:rsidR="00EB654F" w:rsidRPr="00EB654F">
        <w:rPr>
          <w:rFonts w:ascii="Arial" w:hAnsi="Arial"/>
          <w:sz w:val="22"/>
        </w:rPr>
        <w:t>3</w:t>
      </w:r>
      <w:r w:rsidRPr="00EB654F">
        <w:rPr>
          <w:rFonts w:ascii="Arial" w:hAnsi="Arial"/>
          <w:sz w:val="22"/>
        </w:rPr>
        <w:t xml:space="preserve"> года из 10</w:t>
      </w:r>
      <w:r w:rsidR="00EB654F" w:rsidRPr="00EB654F">
        <w:rPr>
          <w:rFonts w:ascii="Arial" w:hAnsi="Arial"/>
          <w:sz w:val="22"/>
        </w:rPr>
        <w:t>0</w:t>
      </w:r>
      <w:r w:rsidRPr="00EB654F">
        <w:rPr>
          <w:rFonts w:ascii="Arial" w:hAnsi="Arial"/>
          <w:sz w:val="22"/>
        </w:rPr>
        <w:t xml:space="preserve"> НПФ, осуществляющих деятельность по ОПС в качестве страховщика, </w:t>
      </w:r>
      <w:r w:rsidR="00EB654F" w:rsidRPr="00EB654F">
        <w:rPr>
          <w:rFonts w:ascii="Arial" w:hAnsi="Arial"/>
          <w:sz w:val="22"/>
        </w:rPr>
        <w:t>8 фондов</w:t>
      </w:r>
      <w:r w:rsidRPr="00EB654F">
        <w:rPr>
          <w:rFonts w:ascii="Arial" w:hAnsi="Arial"/>
          <w:sz w:val="22"/>
        </w:rPr>
        <w:t xml:space="preserve"> имели размер ИОУД менее 100 млн. рублей</w:t>
      </w:r>
      <w:r w:rsidR="00073C55">
        <w:rPr>
          <w:rFonts w:ascii="Arial" w:hAnsi="Arial"/>
          <w:sz w:val="22"/>
        </w:rPr>
        <w:t>, но</w:t>
      </w:r>
      <w:r w:rsidR="00EB654F" w:rsidRPr="00EB654F">
        <w:rPr>
          <w:rFonts w:ascii="Arial" w:hAnsi="Arial"/>
          <w:sz w:val="22"/>
        </w:rPr>
        <w:t xml:space="preserve"> </w:t>
      </w:r>
      <w:r w:rsidR="00073C55">
        <w:rPr>
          <w:rFonts w:ascii="Arial" w:hAnsi="Arial"/>
          <w:sz w:val="22"/>
        </w:rPr>
        <w:t xml:space="preserve">к </w:t>
      </w:r>
      <w:r w:rsidR="00EB654F" w:rsidRPr="00EB654F">
        <w:rPr>
          <w:rFonts w:ascii="Arial" w:hAnsi="Arial"/>
          <w:sz w:val="22"/>
        </w:rPr>
        <w:t xml:space="preserve">15 мая 2013 у четырех из них лицензия была аннулирована. </w:t>
      </w:r>
    </w:p>
    <w:p w:rsidR="002B0CF2" w:rsidRDefault="002B0CF2" w:rsidP="009A29E9">
      <w:pPr>
        <w:ind w:firstLine="709"/>
        <w:jc w:val="both"/>
        <w:rPr>
          <w:rFonts w:ascii="Arial" w:hAnsi="Arial"/>
          <w:sz w:val="22"/>
        </w:rPr>
      </w:pPr>
    </w:p>
    <w:p w:rsidR="00633EF7" w:rsidRDefault="00DB18D5" w:rsidP="009A29E9">
      <w:pPr>
        <w:ind w:firstLine="709"/>
        <w:jc w:val="both"/>
        <w:rPr>
          <w:rFonts w:ascii="Arial" w:hAnsi="Arial"/>
          <w:sz w:val="22"/>
        </w:rPr>
      </w:pPr>
      <w:r>
        <w:rPr>
          <w:rFonts w:ascii="Arial" w:hAnsi="Arial"/>
          <w:sz w:val="22"/>
        </w:rPr>
        <w:t xml:space="preserve">Негосударственные пенсионные фонды, осуществляющие деятельность исключительно по </w:t>
      </w:r>
      <w:r w:rsidR="00EB654F">
        <w:rPr>
          <w:rFonts w:ascii="Arial" w:hAnsi="Arial"/>
          <w:sz w:val="22"/>
        </w:rPr>
        <w:t>не</w:t>
      </w:r>
      <w:r>
        <w:rPr>
          <w:rFonts w:ascii="Arial" w:hAnsi="Arial"/>
          <w:sz w:val="22"/>
        </w:rPr>
        <w:t>государственному пенсионному обеспечению, составляют по количеству около трети (</w:t>
      </w:r>
      <w:r w:rsidR="00EB654F">
        <w:rPr>
          <w:rFonts w:ascii="Arial" w:hAnsi="Arial"/>
          <w:sz w:val="22"/>
        </w:rPr>
        <w:t>26,3</w:t>
      </w:r>
      <w:r>
        <w:rPr>
          <w:rFonts w:ascii="Arial" w:hAnsi="Arial"/>
          <w:sz w:val="22"/>
        </w:rPr>
        <w:t xml:space="preserve">%) общего числа фондов. В этих фондах сосредоточено </w:t>
      </w:r>
      <w:r w:rsidR="00633EF7">
        <w:rPr>
          <w:rFonts w:ascii="Arial" w:hAnsi="Arial"/>
          <w:sz w:val="22"/>
        </w:rPr>
        <w:t>7,0</w:t>
      </w:r>
      <w:r>
        <w:rPr>
          <w:rFonts w:ascii="Arial" w:hAnsi="Arial"/>
          <w:sz w:val="22"/>
        </w:rPr>
        <w:t>% участников и 2,</w:t>
      </w:r>
      <w:r w:rsidR="00EB654F">
        <w:rPr>
          <w:rFonts w:ascii="Arial" w:hAnsi="Arial"/>
          <w:sz w:val="22"/>
        </w:rPr>
        <w:t>2</w:t>
      </w:r>
      <w:r>
        <w:rPr>
          <w:rFonts w:ascii="Arial" w:hAnsi="Arial"/>
          <w:sz w:val="22"/>
        </w:rPr>
        <w:t>% всех пенсионных резервов.</w:t>
      </w:r>
      <w:r w:rsidR="004529C6">
        <w:rPr>
          <w:rFonts w:ascii="Arial" w:hAnsi="Arial"/>
          <w:sz w:val="22"/>
        </w:rPr>
        <w:t xml:space="preserve"> </w:t>
      </w:r>
    </w:p>
    <w:p w:rsidR="00DB18D5" w:rsidRPr="00DB18D5" w:rsidRDefault="004529C6" w:rsidP="009A29E9">
      <w:pPr>
        <w:ind w:firstLine="709"/>
        <w:jc w:val="both"/>
        <w:rPr>
          <w:rFonts w:ascii="Arial" w:hAnsi="Arial"/>
          <w:sz w:val="22"/>
        </w:rPr>
      </w:pPr>
      <w:r>
        <w:rPr>
          <w:rFonts w:ascii="Arial" w:hAnsi="Arial"/>
          <w:sz w:val="22"/>
        </w:rPr>
        <w:t xml:space="preserve">Исключительно обязательным пенсионным страхованием занимаются 4 фонда. В них осуществляют формирование накопительной части трудовой пенсии </w:t>
      </w:r>
      <w:r w:rsidR="00633EF7">
        <w:rPr>
          <w:rFonts w:ascii="Arial" w:hAnsi="Arial"/>
          <w:sz w:val="22"/>
        </w:rPr>
        <w:t>0,5</w:t>
      </w:r>
      <w:r>
        <w:rPr>
          <w:rFonts w:ascii="Arial" w:hAnsi="Arial"/>
          <w:sz w:val="22"/>
        </w:rPr>
        <w:t xml:space="preserve">% застрахованных лиц, выбравших НПФ. </w:t>
      </w:r>
    </w:p>
    <w:p w:rsidR="002B0CF2" w:rsidRDefault="002B0CF2"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r w:rsidRPr="009A29E9">
        <w:rPr>
          <w:rFonts w:ascii="Arial" w:hAnsi="Arial"/>
          <w:sz w:val="22"/>
        </w:rPr>
        <w:t>Негосударственные пенсионные фонды расположены в 2</w:t>
      </w:r>
      <w:r w:rsidR="005F755C">
        <w:rPr>
          <w:rFonts w:ascii="Arial" w:hAnsi="Arial"/>
          <w:sz w:val="22"/>
        </w:rPr>
        <w:t>7</w:t>
      </w:r>
      <w:r w:rsidRPr="009A29E9">
        <w:rPr>
          <w:rFonts w:ascii="Arial" w:hAnsi="Arial"/>
          <w:sz w:val="22"/>
        </w:rPr>
        <w:t xml:space="preserve"> субъект</w:t>
      </w:r>
      <w:r w:rsidR="00662748">
        <w:rPr>
          <w:rFonts w:ascii="Arial" w:hAnsi="Arial"/>
          <w:sz w:val="22"/>
        </w:rPr>
        <w:t>ах</w:t>
      </w:r>
      <w:r w:rsidRPr="009A29E9">
        <w:rPr>
          <w:rFonts w:ascii="Arial" w:hAnsi="Arial"/>
          <w:sz w:val="22"/>
        </w:rPr>
        <w:t xml:space="preserve"> Российской Федерации, в том числе в Москве - </w:t>
      </w:r>
      <w:r w:rsidR="00662748">
        <w:rPr>
          <w:rFonts w:ascii="Arial" w:hAnsi="Arial"/>
          <w:sz w:val="22"/>
        </w:rPr>
        <w:t>7</w:t>
      </w:r>
      <w:r w:rsidR="005F755C">
        <w:rPr>
          <w:rFonts w:ascii="Arial" w:hAnsi="Arial"/>
          <w:sz w:val="22"/>
        </w:rPr>
        <w:t>0</w:t>
      </w:r>
      <w:r w:rsidRPr="009A29E9">
        <w:rPr>
          <w:rFonts w:ascii="Arial" w:hAnsi="Arial"/>
          <w:sz w:val="22"/>
        </w:rPr>
        <w:t xml:space="preserve"> фондов, в Санкт-Петербурге - 12, в Республике Татарстан и Ростовской области - по 5, Московской</w:t>
      </w:r>
      <w:r w:rsidR="00662748">
        <w:rPr>
          <w:rFonts w:ascii="Arial" w:hAnsi="Arial"/>
          <w:sz w:val="22"/>
        </w:rPr>
        <w:t xml:space="preserve"> и</w:t>
      </w:r>
      <w:r w:rsidRPr="009A29E9">
        <w:rPr>
          <w:rFonts w:ascii="Arial" w:hAnsi="Arial"/>
          <w:sz w:val="22"/>
        </w:rPr>
        <w:t xml:space="preserve"> Самарской областях, Пермском крае и Ханты-Мансийском автономном округе – по 4.</w:t>
      </w:r>
    </w:p>
    <w:p w:rsidR="00BF174B" w:rsidRPr="009A29E9" w:rsidRDefault="00BF174B" w:rsidP="009A29E9">
      <w:pPr>
        <w:ind w:firstLine="709"/>
        <w:jc w:val="both"/>
        <w:rPr>
          <w:rFonts w:ascii="Arial" w:hAnsi="Arial"/>
          <w:sz w:val="22"/>
        </w:rPr>
      </w:pPr>
      <w:r w:rsidRPr="009A29E9">
        <w:rPr>
          <w:rFonts w:ascii="Arial" w:hAnsi="Arial"/>
          <w:sz w:val="22"/>
        </w:rPr>
        <w:lastRenderedPageBreak/>
        <w:t xml:space="preserve">Хотя география центральных офисов фондов существенно сузилась (в 2008 г. негосударственные пенсионные фонды были зарегистрированы в 47 субъектах Российской Федерации), выросла региональная сеть действующих фондов и теперь с учетом почти 1200 филиалов и других обособленных подразделений негосударственные пенсионные фонды действуют более чем в 450 населенных пунктах 78 регионов России. Однако, до настоящего времени не имеют возможности заключать договоры негосударственного пенсионного обеспечения и обязательного пенсионного страхования жители Калмыкии, Карачаево-Черкесской и Чеченской Республик, Еврейской автономной области и Чукотского автономного округа. </w:t>
      </w:r>
    </w:p>
    <w:p w:rsidR="00BF174B" w:rsidRPr="009A29E9" w:rsidRDefault="00BF174B"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p>
    <w:p w:rsidR="00BF174B" w:rsidRPr="004529C6" w:rsidRDefault="004529C6" w:rsidP="009A29E9">
      <w:pPr>
        <w:ind w:firstLine="709"/>
        <w:jc w:val="both"/>
        <w:rPr>
          <w:rFonts w:ascii="Arial" w:hAnsi="Arial"/>
          <w:b/>
          <w:sz w:val="22"/>
        </w:rPr>
      </w:pPr>
      <w:r w:rsidRPr="00722251">
        <w:rPr>
          <w:rFonts w:ascii="Arial" w:hAnsi="Arial"/>
          <w:b/>
          <w:sz w:val="22"/>
        </w:rPr>
        <w:t xml:space="preserve">3. </w:t>
      </w:r>
      <w:r w:rsidR="00BF174B" w:rsidRPr="00722251">
        <w:rPr>
          <w:rFonts w:ascii="Arial" w:hAnsi="Arial"/>
          <w:b/>
          <w:sz w:val="22"/>
        </w:rPr>
        <w:t>Деятельность НПФ по негосударственному пенсионному обеспечению</w:t>
      </w:r>
    </w:p>
    <w:p w:rsidR="00BF174B" w:rsidRPr="009A29E9" w:rsidRDefault="00BF174B"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r w:rsidRPr="009A29E9">
        <w:rPr>
          <w:rFonts w:ascii="Arial" w:hAnsi="Arial"/>
          <w:sz w:val="22"/>
        </w:rPr>
        <w:t>Динамика основных показателей деятельности НПФ по негосударственному пенсионному обеспечению с учетом итогов 201</w:t>
      </w:r>
      <w:r w:rsidR="00251CA9">
        <w:rPr>
          <w:rFonts w:ascii="Arial" w:hAnsi="Arial"/>
          <w:sz w:val="22"/>
        </w:rPr>
        <w:t>1</w:t>
      </w:r>
      <w:r w:rsidRPr="009A29E9">
        <w:rPr>
          <w:rFonts w:ascii="Arial" w:hAnsi="Arial"/>
          <w:sz w:val="22"/>
        </w:rPr>
        <w:t xml:space="preserve"> года представлена на диаграммах </w:t>
      </w:r>
      <w:r w:rsidR="00722251">
        <w:rPr>
          <w:rFonts w:ascii="Arial" w:hAnsi="Arial"/>
          <w:sz w:val="22"/>
        </w:rPr>
        <w:t>4</w:t>
      </w:r>
      <w:r w:rsidR="004529C6">
        <w:rPr>
          <w:rFonts w:ascii="Arial" w:hAnsi="Arial"/>
          <w:sz w:val="22"/>
        </w:rPr>
        <w:t xml:space="preserve"> - </w:t>
      </w:r>
      <w:r w:rsidR="00722251">
        <w:rPr>
          <w:rFonts w:ascii="Arial" w:hAnsi="Arial"/>
          <w:sz w:val="22"/>
        </w:rPr>
        <w:t>6</w:t>
      </w:r>
      <w:r w:rsidRPr="009A29E9">
        <w:rPr>
          <w:rFonts w:ascii="Arial" w:hAnsi="Arial"/>
          <w:sz w:val="22"/>
        </w:rPr>
        <w:t xml:space="preserve">: </w:t>
      </w:r>
    </w:p>
    <w:p w:rsidR="00BF174B" w:rsidRPr="009A29E9" w:rsidRDefault="00BF174B" w:rsidP="009A29E9">
      <w:pPr>
        <w:ind w:firstLine="709"/>
        <w:jc w:val="both"/>
        <w:rPr>
          <w:rFonts w:ascii="Arial" w:hAnsi="Arial"/>
          <w:sz w:val="22"/>
        </w:rPr>
      </w:pPr>
      <w:r w:rsidRPr="009A29E9">
        <w:rPr>
          <w:rFonts w:ascii="Arial" w:hAnsi="Arial"/>
          <w:sz w:val="22"/>
        </w:rPr>
        <w:t>•</w:t>
      </w:r>
      <w:r w:rsidRPr="009A29E9">
        <w:rPr>
          <w:rFonts w:ascii="Arial" w:hAnsi="Arial"/>
          <w:sz w:val="22"/>
        </w:rPr>
        <w:tab/>
        <w:t xml:space="preserve">динамика числа участников НПФ и величины пенсионных резервов - на диаграмме </w:t>
      </w:r>
      <w:r w:rsidR="00722251">
        <w:rPr>
          <w:rFonts w:ascii="Arial" w:hAnsi="Arial"/>
          <w:sz w:val="22"/>
        </w:rPr>
        <w:t>4</w:t>
      </w:r>
      <w:r w:rsidRPr="009A29E9">
        <w:rPr>
          <w:rFonts w:ascii="Arial" w:hAnsi="Arial"/>
          <w:sz w:val="22"/>
        </w:rPr>
        <w:t xml:space="preserve">. </w:t>
      </w:r>
    </w:p>
    <w:p w:rsidR="00BF174B" w:rsidRPr="009A29E9" w:rsidRDefault="00BF174B" w:rsidP="009A29E9">
      <w:pPr>
        <w:ind w:firstLine="709"/>
        <w:jc w:val="both"/>
        <w:rPr>
          <w:rFonts w:ascii="Arial" w:hAnsi="Arial"/>
          <w:sz w:val="22"/>
        </w:rPr>
      </w:pPr>
      <w:r w:rsidRPr="009A29E9">
        <w:rPr>
          <w:rFonts w:ascii="Arial" w:hAnsi="Arial"/>
          <w:sz w:val="22"/>
        </w:rPr>
        <w:t>•</w:t>
      </w:r>
      <w:r w:rsidRPr="009A29E9">
        <w:rPr>
          <w:rFonts w:ascii="Arial" w:hAnsi="Arial"/>
          <w:sz w:val="22"/>
        </w:rPr>
        <w:tab/>
        <w:t xml:space="preserve">динамика поступления пенсионных взносов - на диаграмме </w:t>
      </w:r>
      <w:r w:rsidR="00722251">
        <w:rPr>
          <w:rFonts w:ascii="Arial" w:hAnsi="Arial"/>
          <w:sz w:val="22"/>
        </w:rPr>
        <w:t>5</w:t>
      </w:r>
      <w:r w:rsidRPr="009A29E9">
        <w:rPr>
          <w:rFonts w:ascii="Arial" w:hAnsi="Arial"/>
          <w:sz w:val="22"/>
        </w:rPr>
        <w:t>.</w:t>
      </w:r>
    </w:p>
    <w:p w:rsidR="00BF174B" w:rsidRPr="009A29E9" w:rsidRDefault="00BF174B" w:rsidP="009A29E9">
      <w:pPr>
        <w:ind w:firstLine="709"/>
        <w:jc w:val="both"/>
        <w:rPr>
          <w:rFonts w:ascii="Arial" w:hAnsi="Arial"/>
          <w:sz w:val="22"/>
        </w:rPr>
      </w:pPr>
      <w:r w:rsidRPr="009A29E9">
        <w:rPr>
          <w:rFonts w:ascii="Arial" w:hAnsi="Arial"/>
          <w:sz w:val="22"/>
        </w:rPr>
        <w:t>•</w:t>
      </w:r>
      <w:r w:rsidRPr="009A29E9">
        <w:rPr>
          <w:rFonts w:ascii="Arial" w:hAnsi="Arial"/>
          <w:sz w:val="22"/>
        </w:rPr>
        <w:tab/>
        <w:t xml:space="preserve">динамика числа пенсионеров, получающих в НПФ негосударственную пенсию, и </w:t>
      </w:r>
      <w:r w:rsidR="00AF2C5B">
        <w:rPr>
          <w:rFonts w:ascii="Arial" w:hAnsi="Arial"/>
          <w:sz w:val="22"/>
        </w:rPr>
        <w:t>среднего размера пенсии</w:t>
      </w:r>
      <w:r w:rsidRPr="009A29E9">
        <w:rPr>
          <w:rFonts w:ascii="Arial" w:hAnsi="Arial"/>
          <w:sz w:val="22"/>
        </w:rPr>
        <w:t xml:space="preserve"> - на диаграмме </w:t>
      </w:r>
      <w:r w:rsidR="00722251">
        <w:rPr>
          <w:rFonts w:ascii="Arial" w:hAnsi="Arial"/>
          <w:sz w:val="22"/>
        </w:rPr>
        <w:t>6</w:t>
      </w:r>
      <w:r w:rsidRPr="009A29E9">
        <w:rPr>
          <w:rFonts w:ascii="Arial" w:hAnsi="Arial"/>
          <w:sz w:val="22"/>
        </w:rPr>
        <w:t xml:space="preserve"> </w:t>
      </w:r>
    </w:p>
    <w:p w:rsidR="00AF2C5B" w:rsidRDefault="00AF2C5B"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r w:rsidRPr="009A29E9">
        <w:rPr>
          <w:rFonts w:ascii="Arial" w:hAnsi="Arial"/>
          <w:sz w:val="22"/>
        </w:rPr>
        <w:t>Решающий вклад в развитие негосударственного пенсионного обеспечения в России вносят фонды – члены НАПФ. При относительно небольшой численности (</w:t>
      </w:r>
      <w:r w:rsidR="007E15AA">
        <w:rPr>
          <w:rFonts w:ascii="Arial" w:hAnsi="Arial"/>
          <w:sz w:val="22"/>
        </w:rPr>
        <w:t>46,3</w:t>
      </w:r>
      <w:r w:rsidRPr="009A29E9">
        <w:rPr>
          <w:rFonts w:ascii="Arial" w:hAnsi="Arial"/>
          <w:sz w:val="22"/>
        </w:rPr>
        <w:t xml:space="preserve">% общего числа НПФ, имеющих лицензию) участниками фондов - членов НАПФ являются </w:t>
      </w:r>
      <w:r w:rsidR="007E15AA">
        <w:rPr>
          <w:rFonts w:ascii="Arial" w:hAnsi="Arial"/>
          <w:sz w:val="22"/>
        </w:rPr>
        <w:t>80,0</w:t>
      </w:r>
      <w:r w:rsidRPr="009A29E9">
        <w:rPr>
          <w:rFonts w:ascii="Arial" w:hAnsi="Arial"/>
          <w:sz w:val="22"/>
        </w:rPr>
        <w:t xml:space="preserve">% всех участников НПФ, в них сосредоточено </w:t>
      </w:r>
      <w:r w:rsidR="007E15AA">
        <w:rPr>
          <w:rFonts w:ascii="Arial" w:hAnsi="Arial"/>
          <w:sz w:val="22"/>
        </w:rPr>
        <w:t>94,5</w:t>
      </w:r>
      <w:r w:rsidRPr="009A29E9">
        <w:rPr>
          <w:rFonts w:ascii="Arial" w:hAnsi="Arial"/>
          <w:sz w:val="22"/>
        </w:rPr>
        <w:t xml:space="preserve">% всех пенсионных резервов. Пенсионеры этих фондов составляют </w:t>
      </w:r>
      <w:r w:rsidR="00C002E2" w:rsidRPr="00C002E2">
        <w:rPr>
          <w:rFonts w:ascii="Arial" w:hAnsi="Arial"/>
          <w:sz w:val="22"/>
        </w:rPr>
        <w:t>8</w:t>
      </w:r>
      <w:r w:rsidR="007E15AA">
        <w:rPr>
          <w:rFonts w:ascii="Arial" w:hAnsi="Arial"/>
          <w:sz w:val="22"/>
        </w:rPr>
        <w:t>8,</w:t>
      </w:r>
      <w:r w:rsidR="00C002E2" w:rsidRPr="00C002E2">
        <w:rPr>
          <w:rFonts w:ascii="Arial" w:hAnsi="Arial"/>
          <w:sz w:val="22"/>
        </w:rPr>
        <w:t>7</w:t>
      </w:r>
      <w:r w:rsidRPr="009A29E9">
        <w:rPr>
          <w:rFonts w:ascii="Arial" w:hAnsi="Arial"/>
          <w:sz w:val="22"/>
        </w:rPr>
        <w:t xml:space="preserve">% общего числа участников, получающих в НПФ негосударственную пенсию, на их долю приходится </w:t>
      </w:r>
      <w:r w:rsidR="007E15AA">
        <w:rPr>
          <w:rFonts w:ascii="Arial" w:hAnsi="Arial"/>
          <w:sz w:val="22"/>
        </w:rPr>
        <w:t>92,3</w:t>
      </w:r>
      <w:r w:rsidRPr="009A29E9">
        <w:rPr>
          <w:rFonts w:ascii="Arial" w:hAnsi="Arial"/>
          <w:sz w:val="22"/>
        </w:rPr>
        <w:t>% всех пенсионных выплат НПФ.</w:t>
      </w:r>
    </w:p>
    <w:p w:rsidR="00BF174B" w:rsidRPr="009A29E9" w:rsidRDefault="00BF174B"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r w:rsidRPr="009A29E9">
        <w:rPr>
          <w:rFonts w:ascii="Arial" w:hAnsi="Arial"/>
          <w:sz w:val="22"/>
        </w:rPr>
        <w:t>Участниками НПФ являются свыше 6,</w:t>
      </w:r>
      <w:r w:rsidR="007E15AA">
        <w:rPr>
          <w:rFonts w:ascii="Arial" w:hAnsi="Arial"/>
          <w:sz w:val="22"/>
        </w:rPr>
        <w:t>78</w:t>
      </w:r>
      <w:r w:rsidR="00AF2C5B">
        <w:rPr>
          <w:rFonts w:ascii="Arial" w:hAnsi="Arial"/>
          <w:sz w:val="22"/>
        </w:rPr>
        <w:t xml:space="preserve"> </w:t>
      </w:r>
      <w:r w:rsidRPr="009A29E9">
        <w:rPr>
          <w:rFonts w:ascii="Arial" w:hAnsi="Arial"/>
          <w:sz w:val="22"/>
        </w:rPr>
        <w:t>млн. человек, что составляет в среднем по России 9,</w:t>
      </w:r>
      <w:r w:rsidR="007E15AA">
        <w:rPr>
          <w:rFonts w:ascii="Arial" w:hAnsi="Arial"/>
          <w:sz w:val="22"/>
        </w:rPr>
        <w:t>6</w:t>
      </w:r>
      <w:r w:rsidRPr="009A29E9">
        <w:rPr>
          <w:rFonts w:ascii="Arial" w:hAnsi="Arial"/>
          <w:sz w:val="22"/>
        </w:rPr>
        <w:t>% занятого в экономике населения. При этом, например, в Ханты-Мансийском автономном округе в негосударственном пенсионном обеспечении участвует 35% занятого в экономике населения, а в ряде отраслей (нефтяная и газовая промышленность, транспорт, электроэнергетика, связь) негосударственным пенсионным обеспечением охвачено более 60% работающих.</w:t>
      </w:r>
    </w:p>
    <w:p w:rsidR="00663B12" w:rsidRDefault="00663B12"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r w:rsidRPr="00663B12">
        <w:rPr>
          <w:rFonts w:ascii="Arial" w:hAnsi="Arial"/>
          <w:sz w:val="22"/>
        </w:rPr>
        <w:t>В 201</w:t>
      </w:r>
      <w:r w:rsidR="00B24621" w:rsidRPr="00663B12">
        <w:rPr>
          <w:rFonts w:ascii="Arial" w:hAnsi="Arial"/>
          <w:sz w:val="22"/>
        </w:rPr>
        <w:t>2</w:t>
      </w:r>
      <w:r w:rsidRPr="00663B12">
        <w:rPr>
          <w:rFonts w:ascii="Arial" w:hAnsi="Arial"/>
          <w:sz w:val="22"/>
        </w:rPr>
        <w:t xml:space="preserve"> году </w:t>
      </w:r>
      <w:r w:rsidR="00C002E2" w:rsidRPr="00663B12">
        <w:rPr>
          <w:rFonts w:ascii="Arial" w:hAnsi="Arial"/>
          <w:sz w:val="22"/>
        </w:rPr>
        <w:t>полностью</w:t>
      </w:r>
      <w:r w:rsidRPr="00663B12">
        <w:rPr>
          <w:rFonts w:ascii="Arial" w:hAnsi="Arial"/>
          <w:sz w:val="22"/>
        </w:rPr>
        <w:t xml:space="preserve"> преодолены последствия финансового кризиса в уплате пенсионных взносов. </w:t>
      </w:r>
      <w:r w:rsidR="00814B6C" w:rsidRPr="00663B12">
        <w:rPr>
          <w:rFonts w:ascii="Arial" w:hAnsi="Arial"/>
          <w:sz w:val="22"/>
        </w:rPr>
        <w:t>Общая с</w:t>
      </w:r>
      <w:r w:rsidRPr="00663B12">
        <w:rPr>
          <w:rFonts w:ascii="Arial" w:hAnsi="Arial"/>
          <w:sz w:val="22"/>
        </w:rPr>
        <w:t xml:space="preserve">умма взносов </w:t>
      </w:r>
      <w:r w:rsidR="00663B12">
        <w:rPr>
          <w:rFonts w:ascii="Arial" w:hAnsi="Arial"/>
          <w:sz w:val="22"/>
        </w:rPr>
        <w:t xml:space="preserve">составила 80585,7 млн. рублей и </w:t>
      </w:r>
      <w:r w:rsidRPr="00663B12">
        <w:rPr>
          <w:rFonts w:ascii="Arial" w:hAnsi="Arial"/>
          <w:sz w:val="22"/>
        </w:rPr>
        <w:t>увеличил</w:t>
      </w:r>
      <w:r w:rsidR="00663B12">
        <w:rPr>
          <w:rFonts w:ascii="Arial" w:hAnsi="Arial"/>
          <w:sz w:val="22"/>
        </w:rPr>
        <w:t>а</w:t>
      </w:r>
      <w:r w:rsidRPr="00663B12">
        <w:rPr>
          <w:rFonts w:ascii="Arial" w:hAnsi="Arial"/>
          <w:sz w:val="22"/>
        </w:rPr>
        <w:t xml:space="preserve">сь по сравнению с </w:t>
      </w:r>
      <w:r w:rsidR="00C002E2" w:rsidRPr="00663B12">
        <w:rPr>
          <w:rFonts w:ascii="Arial" w:hAnsi="Arial"/>
          <w:sz w:val="22"/>
        </w:rPr>
        <w:t xml:space="preserve">докризисным </w:t>
      </w:r>
      <w:r w:rsidRPr="00663B12">
        <w:rPr>
          <w:rFonts w:ascii="Arial" w:hAnsi="Arial"/>
          <w:sz w:val="22"/>
        </w:rPr>
        <w:t xml:space="preserve">2007 годом на </w:t>
      </w:r>
      <w:r w:rsidR="00B24621" w:rsidRPr="00663B12">
        <w:rPr>
          <w:rFonts w:ascii="Arial" w:hAnsi="Arial"/>
          <w:sz w:val="22"/>
        </w:rPr>
        <w:t>42.9</w:t>
      </w:r>
      <w:r w:rsidRPr="00663B12">
        <w:rPr>
          <w:rFonts w:ascii="Arial" w:hAnsi="Arial"/>
          <w:sz w:val="22"/>
        </w:rPr>
        <w:t xml:space="preserve">%. </w:t>
      </w:r>
      <w:r w:rsidR="00C002E2" w:rsidRPr="00663B12">
        <w:rPr>
          <w:rFonts w:ascii="Arial" w:hAnsi="Arial"/>
          <w:sz w:val="22"/>
        </w:rPr>
        <w:t xml:space="preserve">При этом </w:t>
      </w:r>
      <w:r w:rsidR="00814B6C" w:rsidRPr="00663B12">
        <w:rPr>
          <w:rFonts w:ascii="Arial" w:hAnsi="Arial"/>
          <w:sz w:val="22"/>
        </w:rPr>
        <w:t xml:space="preserve">взносы физических лиц </w:t>
      </w:r>
      <w:r w:rsidR="00663B12">
        <w:rPr>
          <w:rFonts w:ascii="Arial" w:hAnsi="Arial"/>
          <w:sz w:val="22"/>
        </w:rPr>
        <w:t xml:space="preserve">(15536,6 млн. рублей) </w:t>
      </w:r>
      <w:r w:rsidR="00814B6C" w:rsidRPr="00663B12">
        <w:rPr>
          <w:rFonts w:ascii="Arial" w:hAnsi="Arial"/>
          <w:sz w:val="22"/>
        </w:rPr>
        <w:t xml:space="preserve">увеличились на </w:t>
      </w:r>
      <w:r w:rsidR="00663B12" w:rsidRPr="00663B12">
        <w:rPr>
          <w:rFonts w:ascii="Arial" w:hAnsi="Arial"/>
          <w:sz w:val="22"/>
        </w:rPr>
        <w:t>59.8</w:t>
      </w:r>
      <w:r w:rsidR="00814B6C" w:rsidRPr="00663B12">
        <w:rPr>
          <w:rFonts w:ascii="Arial" w:hAnsi="Arial"/>
          <w:sz w:val="22"/>
        </w:rPr>
        <w:t xml:space="preserve">%. Полностью преодолен спад суммы взносов работодателей, отмечавшийся по итогам 2010 года по сравнению с 2009 годом. Сумма взносов юридических лиц </w:t>
      </w:r>
      <w:r w:rsidR="00663B12">
        <w:rPr>
          <w:rFonts w:ascii="Arial" w:hAnsi="Arial"/>
          <w:sz w:val="22"/>
        </w:rPr>
        <w:t xml:space="preserve">(65049,1 млн. рублей) </w:t>
      </w:r>
      <w:r w:rsidR="00814B6C" w:rsidRPr="00663B12">
        <w:rPr>
          <w:rFonts w:ascii="Arial" w:hAnsi="Arial"/>
          <w:sz w:val="22"/>
        </w:rPr>
        <w:t xml:space="preserve">превышает взносы докризисного 2007 года на </w:t>
      </w:r>
      <w:r w:rsidR="00663B12" w:rsidRPr="00663B12">
        <w:rPr>
          <w:rFonts w:ascii="Arial" w:hAnsi="Arial"/>
          <w:sz w:val="22"/>
        </w:rPr>
        <w:t>39.4</w:t>
      </w:r>
      <w:r w:rsidR="00814B6C" w:rsidRPr="00663B12">
        <w:rPr>
          <w:rFonts w:ascii="Arial" w:hAnsi="Arial"/>
          <w:sz w:val="22"/>
        </w:rPr>
        <w:t>%.</w:t>
      </w:r>
      <w:r w:rsidR="00814B6C">
        <w:rPr>
          <w:rFonts w:ascii="Arial" w:hAnsi="Arial"/>
          <w:sz w:val="22"/>
        </w:rPr>
        <w:t xml:space="preserve"> </w:t>
      </w:r>
      <w:r w:rsidR="00663B12">
        <w:rPr>
          <w:rFonts w:ascii="Arial" w:hAnsi="Arial"/>
          <w:sz w:val="22"/>
        </w:rPr>
        <w:t xml:space="preserve">Изменение доли взносов физических лиц в общей сумме пенсионных взносов представлено на диаграмме </w:t>
      </w:r>
      <w:r w:rsidR="007F38A6">
        <w:rPr>
          <w:rFonts w:ascii="Arial" w:hAnsi="Arial"/>
          <w:sz w:val="22"/>
        </w:rPr>
        <w:t>7 (диаграмма доверия)</w:t>
      </w:r>
    </w:p>
    <w:p w:rsidR="00BF174B" w:rsidRDefault="007F38A6" w:rsidP="009A29E9">
      <w:pPr>
        <w:ind w:firstLine="709"/>
        <w:jc w:val="both"/>
        <w:rPr>
          <w:rFonts w:ascii="Arial" w:hAnsi="Arial"/>
          <w:sz w:val="22"/>
        </w:rPr>
      </w:pPr>
      <w:r>
        <w:rPr>
          <w:rFonts w:ascii="Arial" w:hAnsi="Arial"/>
          <w:sz w:val="22"/>
        </w:rPr>
        <w:t xml:space="preserve">В 12 негосударственных пенсионных фондов </w:t>
      </w:r>
      <w:r w:rsidR="00573604">
        <w:rPr>
          <w:rFonts w:ascii="Arial" w:hAnsi="Arial"/>
          <w:sz w:val="22"/>
        </w:rPr>
        <w:t xml:space="preserve">(НПФ «Благосостояние», НПФ «Газфонд», НПФ «Транснефть», НПФ электроэнергетики, НПФ «НЕФТЕГАРАНТ», НПФ «Телеком-Союз», НПФ «СтальФонд», НПФ Сбербанка, НПФ «ЛУКОЙЛ-ГАРАНТ», НПФ «Норильский никель», Ханты-Мансийский НПФ, НПФ «Алмазная осень») </w:t>
      </w:r>
      <w:r>
        <w:rPr>
          <w:rFonts w:ascii="Arial" w:hAnsi="Arial"/>
          <w:sz w:val="22"/>
        </w:rPr>
        <w:t xml:space="preserve">в течение 2012 года поступило более 1 млрд. рублей взносов. </w:t>
      </w:r>
      <w:r w:rsidR="00573604">
        <w:rPr>
          <w:rFonts w:ascii="Arial" w:hAnsi="Arial"/>
          <w:sz w:val="22"/>
        </w:rPr>
        <w:t>Сумма взносов этих фондов составила 85,8% от общей суммы пенсионных взносов в НПФ.</w:t>
      </w:r>
    </w:p>
    <w:p w:rsidR="007F38A6" w:rsidRDefault="007F38A6" w:rsidP="009A29E9">
      <w:pPr>
        <w:ind w:firstLine="709"/>
        <w:jc w:val="both"/>
        <w:rPr>
          <w:rFonts w:ascii="Arial" w:hAnsi="Arial"/>
          <w:sz w:val="22"/>
        </w:rPr>
      </w:pPr>
    </w:p>
    <w:p w:rsidR="008209D1" w:rsidRPr="008209D1" w:rsidRDefault="008209D1" w:rsidP="008209D1">
      <w:pPr>
        <w:ind w:firstLine="709"/>
        <w:jc w:val="both"/>
        <w:rPr>
          <w:rFonts w:ascii="Arial" w:hAnsi="Arial"/>
          <w:sz w:val="22"/>
        </w:rPr>
      </w:pPr>
      <w:r w:rsidRPr="008209D1">
        <w:rPr>
          <w:rFonts w:ascii="Arial" w:hAnsi="Arial"/>
          <w:sz w:val="22"/>
        </w:rPr>
        <w:t xml:space="preserve">Средняя (взвешенная по величине пенсионных резервов) доходность размещения пенсионных резервов </w:t>
      </w:r>
      <w:r>
        <w:rPr>
          <w:rFonts w:ascii="Arial" w:hAnsi="Arial"/>
          <w:sz w:val="22"/>
        </w:rPr>
        <w:t xml:space="preserve">по итогам 2012 года </w:t>
      </w:r>
      <w:r w:rsidRPr="008209D1">
        <w:rPr>
          <w:rFonts w:ascii="Arial" w:hAnsi="Arial"/>
          <w:sz w:val="22"/>
        </w:rPr>
        <w:t>составила 6,63%, что ненамного, но превышает уровень инфляции в 2012 году (6,6%).</w:t>
      </w:r>
    </w:p>
    <w:p w:rsidR="008209D1" w:rsidRPr="008209D1" w:rsidRDefault="008209D1" w:rsidP="008209D1">
      <w:pPr>
        <w:ind w:firstLine="709"/>
        <w:jc w:val="both"/>
        <w:rPr>
          <w:rFonts w:ascii="Arial" w:hAnsi="Arial"/>
          <w:sz w:val="22"/>
        </w:rPr>
      </w:pPr>
      <w:r w:rsidRPr="008209D1">
        <w:rPr>
          <w:rFonts w:ascii="Arial" w:hAnsi="Arial"/>
          <w:sz w:val="22"/>
        </w:rPr>
        <w:t xml:space="preserve">Данные по доходности размещения пенсионных резервов опубликовали 19 фондов, сумма пенсионных резервов которых составляет 14,4% общей величины пенсионных резервов НПФ. </w:t>
      </w:r>
    </w:p>
    <w:p w:rsidR="008209D1" w:rsidRDefault="008209D1" w:rsidP="008209D1">
      <w:pPr>
        <w:ind w:firstLine="709"/>
        <w:jc w:val="both"/>
        <w:rPr>
          <w:rFonts w:ascii="Arial" w:hAnsi="Arial"/>
          <w:sz w:val="22"/>
        </w:rPr>
      </w:pPr>
      <w:r w:rsidRPr="008209D1">
        <w:rPr>
          <w:rFonts w:ascii="Arial" w:hAnsi="Arial"/>
          <w:sz w:val="22"/>
        </w:rPr>
        <w:lastRenderedPageBreak/>
        <w:t>Максимальное значение начисленной на счета доходности составило 10,1% (НПФ «Образование и наука»), наименьшее 4,2% (НПФ «Социальное развитие»). Доходность ниже уровня инфляции показали 2 фонда.</w:t>
      </w:r>
    </w:p>
    <w:p w:rsidR="008209D1" w:rsidRPr="009A29E9" w:rsidRDefault="008209D1" w:rsidP="009A29E9">
      <w:pPr>
        <w:ind w:firstLine="709"/>
        <w:jc w:val="both"/>
        <w:rPr>
          <w:rFonts w:ascii="Arial" w:hAnsi="Arial"/>
          <w:sz w:val="22"/>
        </w:rPr>
      </w:pPr>
    </w:p>
    <w:p w:rsidR="0052468B" w:rsidRDefault="00BF174B" w:rsidP="009A29E9">
      <w:pPr>
        <w:ind w:firstLine="709"/>
        <w:jc w:val="both"/>
        <w:rPr>
          <w:rFonts w:ascii="Arial" w:hAnsi="Arial"/>
          <w:sz w:val="22"/>
        </w:rPr>
      </w:pPr>
      <w:r w:rsidRPr="009A29E9">
        <w:rPr>
          <w:rFonts w:ascii="Arial" w:hAnsi="Arial"/>
          <w:sz w:val="22"/>
        </w:rPr>
        <w:t xml:space="preserve">Негосударственную пенсию в негосударственных пенсионных фондах получают </w:t>
      </w:r>
      <w:r w:rsidR="007E15AA">
        <w:rPr>
          <w:rFonts w:ascii="Arial" w:hAnsi="Arial"/>
          <w:sz w:val="22"/>
        </w:rPr>
        <w:t>1537,1</w:t>
      </w:r>
      <w:r w:rsidRPr="009A29E9">
        <w:rPr>
          <w:rFonts w:ascii="Arial" w:hAnsi="Arial"/>
          <w:sz w:val="22"/>
        </w:rPr>
        <w:t xml:space="preserve"> тыс. человек (в среднем по России - один из 2</w:t>
      </w:r>
      <w:r w:rsidR="007E15AA">
        <w:rPr>
          <w:rFonts w:ascii="Arial" w:hAnsi="Arial"/>
          <w:sz w:val="22"/>
        </w:rPr>
        <w:t>1</w:t>
      </w:r>
      <w:r w:rsidRPr="009A29E9">
        <w:rPr>
          <w:rFonts w:ascii="Arial" w:hAnsi="Arial"/>
          <w:sz w:val="22"/>
        </w:rPr>
        <w:t xml:space="preserve"> пенсионеров по старости). При этом, например, в Ханты-Мансийском автономном округе пенсию из НПФ получают </w:t>
      </w:r>
      <w:r w:rsidR="007E15AA">
        <w:rPr>
          <w:rFonts w:ascii="Arial" w:hAnsi="Arial"/>
          <w:sz w:val="22"/>
        </w:rPr>
        <w:t>61,2</w:t>
      </w:r>
      <w:r w:rsidRPr="009A29E9">
        <w:rPr>
          <w:rFonts w:ascii="Arial" w:hAnsi="Arial"/>
          <w:sz w:val="22"/>
        </w:rPr>
        <w:t>% пенсионеров, а на большинстве предприятий указанных выше отраслей каждый работник, уходящий на пенсию, получает дополнительно к трудовой пенсии пенсию в НПФ.</w:t>
      </w:r>
    </w:p>
    <w:p w:rsidR="00BF174B" w:rsidRPr="009A29E9" w:rsidRDefault="00BF174B" w:rsidP="009A29E9">
      <w:pPr>
        <w:ind w:firstLine="709"/>
        <w:jc w:val="both"/>
        <w:rPr>
          <w:rFonts w:ascii="Arial" w:hAnsi="Arial"/>
          <w:sz w:val="22"/>
        </w:rPr>
      </w:pPr>
      <w:r w:rsidRPr="009A29E9">
        <w:rPr>
          <w:rFonts w:ascii="Arial" w:hAnsi="Arial"/>
          <w:sz w:val="22"/>
        </w:rPr>
        <w:t xml:space="preserve">Отмечается неуклонный рост средней величины выплачиваемой НПФ негосударственной пенсии (диаграмма </w:t>
      </w:r>
      <w:r w:rsidR="00722251">
        <w:rPr>
          <w:rFonts w:ascii="Arial" w:hAnsi="Arial"/>
          <w:sz w:val="22"/>
        </w:rPr>
        <w:t>6</w:t>
      </w:r>
      <w:r w:rsidRPr="009A29E9">
        <w:rPr>
          <w:rFonts w:ascii="Arial" w:hAnsi="Arial"/>
          <w:sz w:val="22"/>
        </w:rPr>
        <w:t>)</w:t>
      </w:r>
      <w:r w:rsidR="0052468B">
        <w:rPr>
          <w:rFonts w:ascii="Arial" w:hAnsi="Arial"/>
          <w:sz w:val="22"/>
        </w:rPr>
        <w:t>, который по итогам 201</w:t>
      </w:r>
      <w:r w:rsidR="007E15AA">
        <w:rPr>
          <w:rFonts w:ascii="Arial" w:hAnsi="Arial"/>
          <w:sz w:val="22"/>
        </w:rPr>
        <w:t>2</w:t>
      </w:r>
      <w:r w:rsidR="0052468B">
        <w:rPr>
          <w:rFonts w:ascii="Arial" w:hAnsi="Arial"/>
          <w:sz w:val="22"/>
        </w:rPr>
        <w:t xml:space="preserve"> года составил </w:t>
      </w:r>
      <w:r w:rsidR="007E15AA">
        <w:rPr>
          <w:rFonts w:ascii="Arial" w:hAnsi="Arial"/>
          <w:sz w:val="22"/>
        </w:rPr>
        <w:t>1987</w:t>
      </w:r>
      <w:r w:rsidR="0052468B">
        <w:rPr>
          <w:rFonts w:ascii="Arial" w:hAnsi="Arial"/>
          <w:sz w:val="22"/>
        </w:rPr>
        <w:t xml:space="preserve"> рубл</w:t>
      </w:r>
      <w:r w:rsidR="007E15AA">
        <w:rPr>
          <w:rFonts w:ascii="Arial" w:hAnsi="Arial"/>
          <w:sz w:val="22"/>
        </w:rPr>
        <w:t>ей</w:t>
      </w:r>
      <w:r w:rsidRPr="009A29E9">
        <w:rPr>
          <w:rFonts w:ascii="Arial" w:hAnsi="Arial"/>
          <w:sz w:val="22"/>
        </w:rPr>
        <w:t>.</w:t>
      </w:r>
      <w:r w:rsidR="0052468B">
        <w:rPr>
          <w:rFonts w:ascii="Arial" w:hAnsi="Arial"/>
          <w:sz w:val="22"/>
        </w:rPr>
        <w:t xml:space="preserve"> При этом </w:t>
      </w:r>
      <w:r w:rsidR="006C1DA1">
        <w:rPr>
          <w:rFonts w:ascii="Arial" w:hAnsi="Arial"/>
          <w:sz w:val="22"/>
        </w:rPr>
        <w:t>у</w:t>
      </w:r>
      <w:r w:rsidR="0052468B">
        <w:rPr>
          <w:rFonts w:ascii="Arial" w:hAnsi="Arial"/>
          <w:sz w:val="22"/>
        </w:rPr>
        <w:t xml:space="preserve"> </w:t>
      </w:r>
      <w:r w:rsidR="00722251">
        <w:rPr>
          <w:rFonts w:ascii="Arial" w:hAnsi="Arial"/>
          <w:sz w:val="22"/>
        </w:rPr>
        <w:t>значительной части</w:t>
      </w:r>
      <w:r w:rsidR="0052468B">
        <w:rPr>
          <w:rFonts w:ascii="Arial" w:hAnsi="Arial"/>
          <w:sz w:val="22"/>
        </w:rPr>
        <w:t xml:space="preserve"> фондов (8</w:t>
      </w:r>
      <w:r w:rsidR="006C1DA1">
        <w:rPr>
          <w:rFonts w:ascii="Arial" w:hAnsi="Arial"/>
          <w:sz w:val="22"/>
        </w:rPr>
        <w:t>6</w:t>
      </w:r>
      <w:r w:rsidR="0052468B">
        <w:rPr>
          <w:rFonts w:ascii="Arial" w:hAnsi="Arial"/>
          <w:sz w:val="22"/>
        </w:rPr>
        <w:t xml:space="preserve"> или </w:t>
      </w:r>
      <w:r w:rsidR="006C1DA1">
        <w:rPr>
          <w:rFonts w:ascii="Arial" w:hAnsi="Arial"/>
          <w:sz w:val="22"/>
        </w:rPr>
        <w:t>64</w:t>
      </w:r>
      <w:r w:rsidR="0052468B">
        <w:rPr>
          <w:rFonts w:ascii="Arial" w:hAnsi="Arial"/>
          <w:sz w:val="22"/>
        </w:rPr>
        <w:t xml:space="preserve">,2%) средний размер негосударственной пенсии превышает 1000 руб. Фонды этой группы выплачивают негосударственные пенсии </w:t>
      </w:r>
      <w:r w:rsidR="006C1DA1">
        <w:rPr>
          <w:rFonts w:ascii="Arial" w:hAnsi="Arial"/>
          <w:sz w:val="22"/>
        </w:rPr>
        <w:t>1130</w:t>
      </w:r>
      <w:r w:rsidR="0052468B">
        <w:rPr>
          <w:rFonts w:ascii="Arial" w:hAnsi="Arial"/>
          <w:sz w:val="22"/>
        </w:rPr>
        <w:t xml:space="preserve"> тыс. человек (</w:t>
      </w:r>
      <w:r w:rsidR="006C1DA1">
        <w:rPr>
          <w:rFonts w:ascii="Arial" w:hAnsi="Arial"/>
          <w:sz w:val="22"/>
        </w:rPr>
        <w:t>73,5</w:t>
      </w:r>
      <w:r w:rsidR="0052468B">
        <w:rPr>
          <w:rFonts w:ascii="Arial" w:hAnsi="Arial"/>
          <w:sz w:val="22"/>
        </w:rPr>
        <w:t xml:space="preserve">% общего числа участников, получающих негосударственную пенсию), а </w:t>
      </w:r>
      <w:r w:rsidR="0052468B" w:rsidRPr="0052468B">
        <w:rPr>
          <w:rFonts w:ascii="Arial" w:hAnsi="Arial"/>
          <w:sz w:val="22"/>
        </w:rPr>
        <w:t xml:space="preserve">средний размер пенсии </w:t>
      </w:r>
      <w:r w:rsidR="0052468B">
        <w:rPr>
          <w:rFonts w:ascii="Arial" w:hAnsi="Arial"/>
          <w:sz w:val="22"/>
        </w:rPr>
        <w:t xml:space="preserve">в этих фондах </w:t>
      </w:r>
      <w:r w:rsidR="0052468B" w:rsidRPr="0052468B">
        <w:rPr>
          <w:rFonts w:ascii="Arial" w:hAnsi="Arial"/>
          <w:sz w:val="22"/>
        </w:rPr>
        <w:t>составляет 2</w:t>
      </w:r>
      <w:r w:rsidR="006C1DA1">
        <w:rPr>
          <w:rFonts w:ascii="Arial" w:hAnsi="Arial"/>
          <w:sz w:val="22"/>
        </w:rPr>
        <w:t>518</w:t>
      </w:r>
      <w:r w:rsidR="0052468B" w:rsidRPr="0052468B">
        <w:rPr>
          <w:rFonts w:ascii="Arial" w:hAnsi="Arial"/>
          <w:sz w:val="22"/>
        </w:rPr>
        <w:t xml:space="preserve"> рублей.</w:t>
      </w:r>
    </w:p>
    <w:p w:rsidR="00BF174B" w:rsidRPr="009A29E9" w:rsidRDefault="00BF174B" w:rsidP="009A29E9">
      <w:pPr>
        <w:ind w:firstLine="709"/>
        <w:jc w:val="both"/>
        <w:rPr>
          <w:rFonts w:ascii="Arial" w:hAnsi="Arial"/>
          <w:sz w:val="22"/>
        </w:rPr>
      </w:pPr>
      <w:r w:rsidRPr="009A29E9">
        <w:rPr>
          <w:rFonts w:ascii="Arial" w:hAnsi="Arial"/>
          <w:sz w:val="22"/>
        </w:rPr>
        <w:t>Уже сейчас в тех отраслях и организациях, которые охвачены негосударственным пенсионным обеспечением, удается, в среднем, обеспечить суммарный для всех видов пенсии коэффициент замещения (относительно размера заработной платы в отрасли), превышающий средний по стране на 12 – 15%.</w:t>
      </w:r>
    </w:p>
    <w:p w:rsidR="00BF174B" w:rsidRPr="009A29E9" w:rsidRDefault="00BF174B" w:rsidP="009A29E9">
      <w:pPr>
        <w:ind w:firstLine="709"/>
        <w:jc w:val="both"/>
        <w:rPr>
          <w:rFonts w:ascii="Arial" w:hAnsi="Arial"/>
          <w:sz w:val="22"/>
        </w:rPr>
      </w:pPr>
    </w:p>
    <w:p w:rsidR="00AF2C5B" w:rsidRDefault="00BF174B" w:rsidP="009A29E9">
      <w:pPr>
        <w:ind w:firstLine="709"/>
        <w:jc w:val="both"/>
        <w:rPr>
          <w:rFonts w:ascii="Arial" w:hAnsi="Arial"/>
          <w:sz w:val="22"/>
        </w:rPr>
      </w:pPr>
      <w:r w:rsidRPr="009A29E9">
        <w:rPr>
          <w:rFonts w:ascii="Arial" w:hAnsi="Arial"/>
          <w:sz w:val="22"/>
        </w:rPr>
        <w:t xml:space="preserve">Негосударственные пенсионные фонды накопили большой опыт </w:t>
      </w:r>
      <w:r w:rsidR="0052468B">
        <w:rPr>
          <w:rFonts w:ascii="Arial" w:hAnsi="Arial"/>
          <w:sz w:val="22"/>
        </w:rPr>
        <w:t xml:space="preserve">организации </w:t>
      </w:r>
      <w:r w:rsidRPr="009A29E9">
        <w:rPr>
          <w:rFonts w:ascii="Arial" w:hAnsi="Arial"/>
          <w:sz w:val="22"/>
        </w:rPr>
        <w:t>выплаты негосударственной пенсии</w:t>
      </w:r>
      <w:r w:rsidR="00D61605">
        <w:rPr>
          <w:rFonts w:ascii="Arial" w:hAnsi="Arial"/>
          <w:sz w:val="22"/>
        </w:rPr>
        <w:t xml:space="preserve">. В </w:t>
      </w:r>
      <w:r w:rsidR="000D2C9D" w:rsidRPr="000D2C9D">
        <w:rPr>
          <w:rFonts w:ascii="Arial" w:hAnsi="Arial"/>
          <w:sz w:val="22"/>
        </w:rPr>
        <w:t>фондах</w:t>
      </w:r>
      <w:r w:rsidR="000D2C9D">
        <w:rPr>
          <w:rFonts w:ascii="Arial" w:hAnsi="Arial"/>
          <w:sz w:val="22"/>
        </w:rPr>
        <w:t>,</w:t>
      </w:r>
      <w:r w:rsidR="000D2C9D" w:rsidRPr="000D2C9D">
        <w:rPr>
          <w:rFonts w:ascii="Arial" w:hAnsi="Arial"/>
          <w:sz w:val="22"/>
        </w:rPr>
        <w:t xml:space="preserve"> </w:t>
      </w:r>
      <w:r w:rsidRPr="009A29E9">
        <w:rPr>
          <w:rFonts w:ascii="Arial" w:hAnsi="Arial"/>
          <w:sz w:val="22"/>
        </w:rPr>
        <w:t xml:space="preserve">крупнейших по количеству участников, получающих негосударственную пенсию, (НПФ «Благосостояние» - </w:t>
      </w:r>
      <w:r w:rsidR="000D2C9D">
        <w:rPr>
          <w:rFonts w:ascii="Arial" w:hAnsi="Arial"/>
          <w:sz w:val="22"/>
        </w:rPr>
        <w:t>284,5</w:t>
      </w:r>
      <w:r w:rsidRPr="009A29E9">
        <w:rPr>
          <w:rFonts w:ascii="Arial" w:hAnsi="Arial"/>
          <w:sz w:val="22"/>
        </w:rPr>
        <w:t xml:space="preserve"> тыс. чел., Ханты-Мансийский НПФ – </w:t>
      </w:r>
      <w:r w:rsidR="000D2C9D">
        <w:rPr>
          <w:rFonts w:ascii="Arial" w:hAnsi="Arial"/>
          <w:sz w:val="22"/>
        </w:rPr>
        <w:t>187,2</w:t>
      </w:r>
      <w:r w:rsidRPr="009A29E9">
        <w:rPr>
          <w:rFonts w:ascii="Arial" w:hAnsi="Arial"/>
          <w:sz w:val="22"/>
        </w:rPr>
        <w:t xml:space="preserve"> тыс. чел., НПФ «Телеком-Союз» - </w:t>
      </w:r>
      <w:r w:rsidR="000D2C9D">
        <w:rPr>
          <w:rFonts w:ascii="Arial" w:hAnsi="Arial"/>
          <w:sz w:val="22"/>
        </w:rPr>
        <w:t>134,5</w:t>
      </w:r>
      <w:r w:rsidRPr="009A29E9">
        <w:rPr>
          <w:rFonts w:ascii="Arial" w:hAnsi="Arial"/>
          <w:sz w:val="22"/>
        </w:rPr>
        <w:t xml:space="preserve"> тыс. чел., НПФ «Газфонд» - </w:t>
      </w:r>
      <w:r w:rsidR="000D2C9D">
        <w:rPr>
          <w:rFonts w:ascii="Arial" w:hAnsi="Arial"/>
          <w:sz w:val="22"/>
        </w:rPr>
        <w:t>112,5</w:t>
      </w:r>
      <w:r w:rsidRPr="009A29E9">
        <w:rPr>
          <w:rFonts w:ascii="Arial" w:hAnsi="Arial"/>
          <w:sz w:val="22"/>
        </w:rPr>
        <w:t xml:space="preserve"> тыс. чел.</w:t>
      </w:r>
      <w:r w:rsidR="000D2C9D">
        <w:rPr>
          <w:rFonts w:ascii="Arial" w:hAnsi="Arial"/>
          <w:sz w:val="22"/>
        </w:rPr>
        <w:t xml:space="preserve">, </w:t>
      </w:r>
      <w:r w:rsidR="000D2C9D" w:rsidRPr="000D2C9D">
        <w:rPr>
          <w:rFonts w:ascii="Arial" w:hAnsi="Arial"/>
          <w:sz w:val="22"/>
        </w:rPr>
        <w:t>НПФ электроэнергетик – 108,3 тыс. чел.</w:t>
      </w:r>
      <w:r w:rsidRPr="009A29E9">
        <w:rPr>
          <w:rFonts w:ascii="Arial" w:hAnsi="Arial"/>
          <w:sz w:val="22"/>
        </w:rPr>
        <w:t xml:space="preserve">) число пенсионеров сравнимо или превышает число пенсий по старости, выплачиваемых </w:t>
      </w:r>
      <w:r w:rsidR="000D2C9D">
        <w:rPr>
          <w:rFonts w:ascii="Arial" w:hAnsi="Arial"/>
          <w:sz w:val="22"/>
        </w:rPr>
        <w:t xml:space="preserve">многими </w:t>
      </w:r>
      <w:r w:rsidRPr="009A29E9">
        <w:rPr>
          <w:rFonts w:ascii="Arial" w:hAnsi="Arial"/>
          <w:sz w:val="22"/>
        </w:rPr>
        <w:t xml:space="preserve">отделениями Пенсионного фонда России. </w:t>
      </w:r>
      <w:r w:rsidR="00D61605">
        <w:rPr>
          <w:rFonts w:ascii="Arial" w:hAnsi="Arial"/>
          <w:sz w:val="22"/>
        </w:rPr>
        <w:t xml:space="preserve">Например, </w:t>
      </w:r>
      <w:r w:rsidRPr="009A29E9">
        <w:rPr>
          <w:rFonts w:ascii="Arial" w:hAnsi="Arial"/>
          <w:sz w:val="22"/>
        </w:rPr>
        <w:t>НПФ «Благосостояние»</w:t>
      </w:r>
      <w:r w:rsidR="00D61605">
        <w:rPr>
          <w:rFonts w:ascii="Arial" w:hAnsi="Arial"/>
          <w:sz w:val="22"/>
        </w:rPr>
        <w:t xml:space="preserve"> </w:t>
      </w:r>
      <w:r w:rsidRPr="009A29E9">
        <w:rPr>
          <w:rFonts w:ascii="Arial" w:hAnsi="Arial"/>
          <w:sz w:val="22"/>
        </w:rPr>
        <w:t xml:space="preserve"> ежемесячно выплачивае</w:t>
      </w:r>
      <w:r w:rsidR="00334129">
        <w:rPr>
          <w:rFonts w:ascii="Arial" w:hAnsi="Arial"/>
          <w:sz w:val="22"/>
        </w:rPr>
        <w:t>т</w:t>
      </w:r>
      <w:r w:rsidRPr="009A29E9">
        <w:rPr>
          <w:rFonts w:ascii="Arial" w:hAnsi="Arial"/>
          <w:sz w:val="22"/>
        </w:rPr>
        <w:t xml:space="preserve"> </w:t>
      </w:r>
      <w:r w:rsidR="00334129">
        <w:rPr>
          <w:rFonts w:ascii="Arial" w:hAnsi="Arial"/>
          <w:sz w:val="22"/>
        </w:rPr>
        <w:t>негосударственных пенсий больше, чем</w:t>
      </w:r>
      <w:r w:rsidRPr="009A29E9">
        <w:rPr>
          <w:rFonts w:ascii="Arial" w:hAnsi="Arial"/>
          <w:sz w:val="22"/>
        </w:rPr>
        <w:t xml:space="preserve"> </w:t>
      </w:r>
      <w:r w:rsidR="003E2D86" w:rsidRPr="003E2D86">
        <w:rPr>
          <w:rFonts w:ascii="Arial" w:hAnsi="Arial"/>
          <w:sz w:val="22"/>
        </w:rPr>
        <w:t xml:space="preserve">выплачивают все виды пенсий </w:t>
      </w:r>
      <w:r w:rsidRPr="009A29E9">
        <w:rPr>
          <w:rFonts w:ascii="Arial" w:hAnsi="Arial"/>
          <w:sz w:val="22"/>
        </w:rPr>
        <w:t>3</w:t>
      </w:r>
      <w:r w:rsidR="000D2C9D">
        <w:rPr>
          <w:rFonts w:ascii="Arial" w:hAnsi="Arial"/>
          <w:sz w:val="22"/>
        </w:rPr>
        <w:t>1</w:t>
      </w:r>
      <w:r w:rsidRPr="009A29E9">
        <w:rPr>
          <w:rFonts w:ascii="Arial" w:hAnsi="Arial"/>
          <w:sz w:val="22"/>
        </w:rPr>
        <w:t xml:space="preserve"> </w:t>
      </w:r>
      <w:r w:rsidR="00334129">
        <w:rPr>
          <w:rFonts w:ascii="Arial" w:hAnsi="Arial"/>
          <w:sz w:val="22"/>
        </w:rPr>
        <w:t xml:space="preserve">из 82 </w:t>
      </w:r>
      <w:r w:rsidRPr="009A29E9">
        <w:rPr>
          <w:rFonts w:ascii="Arial" w:hAnsi="Arial"/>
          <w:sz w:val="22"/>
        </w:rPr>
        <w:t>региональных отделени</w:t>
      </w:r>
      <w:r w:rsidR="00334129">
        <w:rPr>
          <w:rFonts w:ascii="Arial" w:hAnsi="Arial"/>
          <w:sz w:val="22"/>
        </w:rPr>
        <w:t>й</w:t>
      </w:r>
      <w:r w:rsidRPr="009A29E9">
        <w:rPr>
          <w:rFonts w:ascii="Arial" w:hAnsi="Arial"/>
          <w:sz w:val="22"/>
        </w:rPr>
        <w:t xml:space="preserve"> П</w:t>
      </w:r>
      <w:r w:rsidR="00334129">
        <w:rPr>
          <w:rFonts w:ascii="Arial" w:hAnsi="Arial"/>
          <w:sz w:val="22"/>
        </w:rPr>
        <w:t>енсионного фонда России</w:t>
      </w:r>
      <w:r w:rsidRPr="009A29E9">
        <w:rPr>
          <w:rFonts w:ascii="Arial" w:hAnsi="Arial"/>
          <w:sz w:val="22"/>
        </w:rPr>
        <w:t>.</w:t>
      </w:r>
    </w:p>
    <w:p w:rsidR="00AF2C5B" w:rsidRDefault="00AF2C5B"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p>
    <w:p w:rsidR="00BF174B" w:rsidRPr="00D61605" w:rsidRDefault="00D61605" w:rsidP="009A29E9">
      <w:pPr>
        <w:ind w:firstLine="709"/>
        <w:jc w:val="both"/>
        <w:rPr>
          <w:rFonts w:ascii="Arial" w:hAnsi="Arial"/>
          <w:b/>
          <w:sz w:val="22"/>
        </w:rPr>
      </w:pPr>
      <w:r w:rsidRPr="00D61605">
        <w:rPr>
          <w:rFonts w:ascii="Arial" w:hAnsi="Arial"/>
          <w:b/>
          <w:sz w:val="22"/>
        </w:rPr>
        <w:t>4</w:t>
      </w:r>
      <w:r w:rsidR="00BF174B" w:rsidRPr="00D61605">
        <w:rPr>
          <w:rFonts w:ascii="Arial" w:hAnsi="Arial"/>
          <w:b/>
          <w:sz w:val="22"/>
        </w:rPr>
        <w:t>. Деятельность НПФ по обязательному пенсионному страхованию</w:t>
      </w:r>
    </w:p>
    <w:p w:rsidR="00BF174B" w:rsidRPr="009A29E9" w:rsidRDefault="00BF174B" w:rsidP="009A29E9">
      <w:pPr>
        <w:ind w:firstLine="709"/>
        <w:jc w:val="both"/>
        <w:rPr>
          <w:rFonts w:ascii="Arial" w:hAnsi="Arial"/>
          <w:sz w:val="22"/>
        </w:rPr>
      </w:pPr>
    </w:p>
    <w:p w:rsidR="00BF174B" w:rsidRPr="008863BA" w:rsidRDefault="00BF174B" w:rsidP="009A29E9">
      <w:pPr>
        <w:ind w:firstLine="709"/>
        <w:jc w:val="both"/>
        <w:rPr>
          <w:rFonts w:ascii="Arial" w:hAnsi="Arial"/>
          <w:sz w:val="22"/>
        </w:rPr>
      </w:pPr>
      <w:r w:rsidRPr="008863BA">
        <w:rPr>
          <w:rFonts w:ascii="Arial" w:hAnsi="Arial"/>
          <w:sz w:val="22"/>
        </w:rPr>
        <w:t xml:space="preserve">По данным ФСФР России на </w:t>
      </w:r>
      <w:r w:rsidR="00334129" w:rsidRPr="008863BA">
        <w:rPr>
          <w:rFonts w:ascii="Arial" w:hAnsi="Arial"/>
          <w:sz w:val="22"/>
        </w:rPr>
        <w:t xml:space="preserve">9 </w:t>
      </w:r>
      <w:r w:rsidR="008863BA" w:rsidRPr="008863BA">
        <w:rPr>
          <w:rFonts w:ascii="Arial" w:hAnsi="Arial"/>
          <w:sz w:val="22"/>
        </w:rPr>
        <w:t>февраля</w:t>
      </w:r>
      <w:r w:rsidRPr="008863BA">
        <w:rPr>
          <w:rFonts w:ascii="Arial" w:hAnsi="Arial"/>
          <w:sz w:val="22"/>
        </w:rPr>
        <w:t xml:space="preserve"> 201</w:t>
      </w:r>
      <w:r w:rsidR="008863BA" w:rsidRPr="008863BA">
        <w:rPr>
          <w:rFonts w:ascii="Arial" w:hAnsi="Arial"/>
          <w:sz w:val="22"/>
        </w:rPr>
        <w:t>3</w:t>
      </w:r>
      <w:r w:rsidRPr="008863BA">
        <w:rPr>
          <w:rFonts w:ascii="Arial" w:hAnsi="Arial"/>
          <w:sz w:val="22"/>
        </w:rPr>
        <w:t xml:space="preserve"> года заявления о намерении осуществлять деятельность в качестве страховщика по ОПС зарегистрировали 1</w:t>
      </w:r>
      <w:r w:rsidR="008863BA" w:rsidRPr="008863BA">
        <w:rPr>
          <w:rFonts w:ascii="Arial" w:hAnsi="Arial"/>
          <w:sz w:val="22"/>
        </w:rPr>
        <w:t>09</w:t>
      </w:r>
      <w:r w:rsidRPr="008863BA">
        <w:rPr>
          <w:rFonts w:ascii="Arial" w:hAnsi="Arial"/>
          <w:sz w:val="22"/>
        </w:rPr>
        <w:t xml:space="preserve"> </w:t>
      </w:r>
      <w:r w:rsidR="008863BA" w:rsidRPr="008863BA">
        <w:rPr>
          <w:rFonts w:ascii="Arial" w:hAnsi="Arial"/>
          <w:sz w:val="22"/>
        </w:rPr>
        <w:t>негосударственных пенсионных фондов</w:t>
      </w:r>
      <w:r w:rsidRPr="008863BA">
        <w:rPr>
          <w:rFonts w:ascii="Arial" w:hAnsi="Arial"/>
          <w:sz w:val="22"/>
        </w:rPr>
        <w:t>, из них 6</w:t>
      </w:r>
      <w:r w:rsidR="00322F29" w:rsidRPr="008863BA">
        <w:rPr>
          <w:rFonts w:ascii="Arial" w:hAnsi="Arial"/>
          <w:sz w:val="22"/>
        </w:rPr>
        <w:t>1</w:t>
      </w:r>
      <w:r w:rsidRPr="008863BA">
        <w:rPr>
          <w:rFonts w:ascii="Arial" w:hAnsi="Arial"/>
          <w:sz w:val="22"/>
        </w:rPr>
        <w:t xml:space="preserve"> – члены НАПФ. Реально действующие договоры об ОПС имеют 1</w:t>
      </w:r>
      <w:r w:rsidR="00334129" w:rsidRPr="008863BA">
        <w:rPr>
          <w:rFonts w:ascii="Arial" w:hAnsi="Arial"/>
          <w:sz w:val="22"/>
        </w:rPr>
        <w:t>0</w:t>
      </w:r>
      <w:r w:rsidR="008863BA" w:rsidRPr="008863BA">
        <w:rPr>
          <w:rFonts w:ascii="Arial" w:hAnsi="Arial"/>
          <w:sz w:val="22"/>
        </w:rPr>
        <w:t>0</w:t>
      </w:r>
      <w:r w:rsidRPr="008863BA">
        <w:rPr>
          <w:rFonts w:ascii="Arial" w:hAnsi="Arial"/>
          <w:sz w:val="22"/>
        </w:rPr>
        <w:t xml:space="preserve"> фонд</w:t>
      </w:r>
      <w:r w:rsidR="003E2D86">
        <w:rPr>
          <w:rFonts w:ascii="Arial" w:hAnsi="Arial"/>
          <w:sz w:val="22"/>
        </w:rPr>
        <w:t>ов</w:t>
      </w:r>
      <w:r w:rsidRPr="008863BA">
        <w:rPr>
          <w:rFonts w:ascii="Arial" w:hAnsi="Arial"/>
          <w:sz w:val="22"/>
        </w:rPr>
        <w:t xml:space="preserve"> (</w:t>
      </w:r>
      <w:r w:rsidR="008863BA" w:rsidRPr="008863BA">
        <w:rPr>
          <w:rFonts w:ascii="Arial" w:hAnsi="Arial"/>
          <w:sz w:val="22"/>
        </w:rPr>
        <w:t>91,7</w:t>
      </w:r>
      <w:r w:rsidRPr="008863BA">
        <w:rPr>
          <w:rFonts w:ascii="Arial" w:hAnsi="Arial"/>
          <w:sz w:val="22"/>
        </w:rPr>
        <w:t xml:space="preserve">%), из них </w:t>
      </w:r>
      <w:r w:rsidR="00334129" w:rsidRPr="008863BA">
        <w:rPr>
          <w:rFonts w:ascii="Arial" w:hAnsi="Arial"/>
          <w:sz w:val="22"/>
        </w:rPr>
        <w:t>5</w:t>
      </w:r>
      <w:r w:rsidR="008863BA" w:rsidRPr="008863BA">
        <w:rPr>
          <w:rFonts w:ascii="Arial" w:hAnsi="Arial"/>
          <w:sz w:val="22"/>
        </w:rPr>
        <w:t>5</w:t>
      </w:r>
      <w:r w:rsidRPr="008863BA">
        <w:rPr>
          <w:rFonts w:ascii="Arial" w:hAnsi="Arial"/>
          <w:sz w:val="22"/>
        </w:rPr>
        <w:t xml:space="preserve"> – члены НАПФ (</w:t>
      </w:r>
      <w:r w:rsidR="00322F29" w:rsidRPr="008863BA">
        <w:rPr>
          <w:rFonts w:ascii="Arial" w:hAnsi="Arial"/>
          <w:sz w:val="22"/>
        </w:rPr>
        <w:t>9</w:t>
      </w:r>
      <w:r w:rsidR="008863BA" w:rsidRPr="008863BA">
        <w:rPr>
          <w:rFonts w:ascii="Arial" w:hAnsi="Arial"/>
          <w:sz w:val="22"/>
        </w:rPr>
        <w:t>0,2</w:t>
      </w:r>
      <w:r w:rsidRPr="008863BA">
        <w:rPr>
          <w:rFonts w:ascii="Arial" w:hAnsi="Arial"/>
          <w:sz w:val="22"/>
        </w:rPr>
        <w:t xml:space="preserve">%). </w:t>
      </w:r>
    </w:p>
    <w:p w:rsidR="00BF174B" w:rsidRPr="009A29E9" w:rsidRDefault="00BF174B" w:rsidP="009A29E9">
      <w:pPr>
        <w:ind w:firstLine="709"/>
        <w:jc w:val="both"/>
        <w:rPr>
          <w:rFonts w:ascii="Arial" w:hAnsi="Arial"/>
          <w:sz w:val="22"/>
        </w:rPr>
      </w:pPr>
      <w:r w:rsidRPr="008863BA">
        <w:rPr>
          <w:rFonts w:ascii="Arial" w:hAnsi="Arial"/>
          <w:sz w:val="22"/>
        </w:rPr>
        <w:t xml:space="preserve">Из всех, выбравших негосударственные пенсионные фонды для формирования накопительной части трудовой пенсии, </w:t>
      </w:r>
      <w:r w:rsidR="008863BA" w:rsidRPr="008863BA">
        <w:rPr>
          <w:rFonts w:ascii="Arial" w:hAnsi="Arial"/>
          <w:sz w:val="22"/>
        </w:rPr>
        <w:t>86,2</w:t>
      </w:r>
      <w:r w:rsidRPr="008863BA">
        <w:rPr>
          <w:rFonts w:ascii="Arial" w:hAnsi="Arial"/>
          <w:sz w:val="22"/>
        </w:rPr>
        <w:t xml:space="preserve">% </w:t>
      </w:r>
      <w:r w:rsidR="003E2D86" w:rsidRPr="003E2D86">
        <w:rPr>
          <w:rFonts w:ascii="Arial" w:hAnsi="Arial"/>
          <w:sz w:val="22"/>
        </w:rPr>
        <w:t xml:space="preserve">застрахованных лиц </w:t>
      </w:r>
      <w:r w:rsidRPr="008863BA">
        <w:rPr>
          <w:rFonts w:ascii="Arial" w:hAnsi="Arial"/>
          <w:sz w:val="22"/>
        </w:rPr>
        <w:t xml:space="preserve">выбрали фонды-члены НАПФ, а их пенсионные накопления составляют </w:t>
      </w:r>
      <w:r w:rsidR="008863BA" w:rsidRPr="008863BA">
        <w:rPr>
          <w:rFonts w:ascii="Arial" w:hAnsi="Arial"/>
          <w:sz w:val="22"/>
        </w:rPr>
        <w:t>88,05</w:t>
      </w:r>
      <w:r w:rsidRPr="008863BA">
        <w:rPr>
          <w:rFonts w:ascii="Arial" w:hAnsi="Arial"/>
          <w:sz w:val="22"/>
        </w:rPr>
        <w:t>% средств пенсионных накоплений, сосредоточенных в НПФ.</w:t>
      </w:r>
    </w:p>
    <w:p w:rsidR="00BF174B" w:rsidRPr="009A29E9" w:rsidRDefault="00BF174B" w:rsidP="009A29E9">
      <w:pPr>
        <w:ind w:firstLine="709"/>
        <w:jc w:val="both"/>
        <w:rPr>
          <w:rFonts w:ascii="Arial" w:hAnsi="Arial"/>
          <w:sz w:val="22"/>
        </w:rPr>
      </w:pPr>
    </w:p>
    <w:p w:rsidR="00A96508" w:rsidRDefault="00BF174B" w:rsidP="009A29E9">
      <w:pPr>
        <w:ind w:firstLine="709"/>
        <w:jc w:val="both"/>
        <w:rPr>
          <w:rFonts w:ascii="Arial" w:hAnsi="Arial"/>
          <w:sz w:val="22"/>
        </w:rPr>
      </w:pPr>
      <w:r w:rsidRPr="009A29E9">
        <w:rPr>
          <w:rFonts w:ascii="Arial" w:hAnsi="Arial"/>
          <w:sz w:val="22"/>
        </w:rPr>
        <w:t>По состоянию на 1.01.201</w:t>
      </w:r>
      <w:r w:rsidR="00AF0E12">
        <w:rPr>
          <w:rFonts w:ascii="Arial" w:hAnsi="Arial"/>
          <w:sz w:val="22"/>
        </w:rPr>
        <w:t>3</w:t>
      </w:r>
      <w:r w:rsidRPr="009A29E9">
        <w:rPr>
          <w:rFonts w:ascii="Arial" w:hAnsi="Arial"/>
          <w:sz w:val="22"/>
        </w:rPr>
        <w:t xml:space="preserve"> г. в негосударственных пенсионных фондах осуществляли формирование пенсионных накоплений </w:t>
      </w:r>
      <w:r w:rsidR="00AF0E12">
        <w:rPr>
          <w:rFonts w:ascii="Arial" w:hAnsi="Arial"/>
          <w:sz w:val="22"/>
        </w:rPr>
        <w:t>16570,1</w:t>
      </w:r>
      <w:r w:rsidRPr="009A29E9">
        <w:rPr>
          <w:rFonts w:ascii="Arial" w:hAnsi="Arial"/>
          <w:sz w:val="22"/>
        </w:rPr>
        <w:t xml:space="preserve"> тыс. застрахованных лиц, общая сумма пенсионные накоплений которых составляла </w:t>
      </w:r>
      <w:r w:rsidR="00AF0E12">
        <w:rPr>
          <w:rFonts w:ascii="Arial" w:hAnsi="Arial"/>
          <w:sz w:val="22"/>
        </w:rPr>
        <w:t>668690,4</w:t>
      </w:r>
      <w:r w:rsidRPr="009A29E9">
        <w:rPr>
          <w:rFonts w:ascii="Arial" w:hAnsi="Arial"/>
          <w:sz w:val="22"/>
        </w:rPr>
        <w:t xml:space="preserve"> млн. руб. С учетом </w:t>
      </w:r>
      <w:r w:rsidR="00543BB7" w:rsidRPr="00543BB7">
        <w:rPr>
          <w:rFonts w:ascii="Arial" w:hAnsi="Arial"/>
          <w:sz w:val="22"/>
        </w:rPr>
        <w:t xml:space="preserve">переведенных в негосударственные пенсионные фонды </w:t>
      </w:r>
      <w:r w:rsidR="003E2D86" w:rsidRPr="003E2D86">
        <w:rPr>
          <w:rFonts w:ascii="Arial" w:hAnsi="Arial"/>
          <w:sz w:val="22"/>
        </w:rPr>
        <w:t xml:space="preserve">по результатам кампании 2012 года застрахованных лиц </w:t>
      </w:r>
      <w:r w:rsidR="003E2D86">
        <w:rPr>
          <w:rFonts w:ascii="Arial" w:hAnsi="Arial"/>
          <w:sz w:val="22"/>
        </w:rPr>
        <w:t xml:space="preserve">их </w:t>
      </w:r>
      <w:r w:rsidR="003E2D86" w:rsidRPr="003E2D86">
        <w:rPr>
          <w:rFonts w:ascii="Arial" w:hAnsi="Arial"/>
          <w:sz w:val="22"/>
        </w:rPr>
        <w:t>число на конец апреля составляет 20,0 млн. человек, (26,0% от 77,0 млн. граждан, у которых по данным ПФР формируются пенсионные накопления)</w:t>
      </w:r>
      <w:r w:rsidR="00AF0E12" w:rsidRPr="004F3B53">
        <w:rPr>
          <w:rFonts w:ascii="Arial" w:hAnsi="Arial"/>
          <w:sz w:val="22"/>
        </w:rPr>
        <w:t>, а сумма пенсионных накоплений негосударственных пенсионных фондов превышает 760</w:t>
      </w:r>
      <w:r w:rsidR="00AF0E12" w:rsidRPr="00AF0E12">
        <w:rPr>
          <w:rFonts w:ascii="Arial" w:hAnsi="Arial"/>
          <w:sz w:val="22"/>
        </w:rPr>
        <w:t xml:space="preserve"> млрд. рублей </w:t>
      </w:r>
      <w:r w:rsidRPr="009A29E9">
        <w:rPr>
          <w:rFonts w:ascii="Arial" w:hAnsi="Arial"/>
          <w:sz w:val="22"/>
        </w:rPr>
        <w:t xml:space="preserve">(диаграмма </w:t>
      </w:r>
      <w:r w:rsidR="007F38A6">
        <w:rPr>
          <w:rFonts w:ascii="Arial" w:hAnsi="Arial"/>
          <w:sz w:val="22"/>
        </w:rPr>
        <w:t>8</w:t>
      </w:r>
      <w:r w:rsidRPr="009A29E9">
        <w:rPr>
          <w:rFonts w:ascii="Arial" w:hAnsi="Arial"/>
          <w:sz w:val="22"/>
        </w:rPr>
        <w:t>).</w:t>
      </w:r>
      <w:r w:rsidR="00A96508">
        <w:rPr>
          <w:rFonts w:ascii="Arial" w:hAnsi="Arial"/>
          <w:sz w:val="22"/>
        </w:rPr>
        <w:t xml:space="preserve"> </w:t>
      </w:r>
    </w:p>
    <w:p w:rsidR="00A96508" w:rsidRDefault="00A96508" w:rsidP="009A29E9">
      <w:pPr>
        <w:ind w:firstLine="709"/>
        <w:jc w:val="both"/>
        <w:rPr>
          <w:rFonts w:ascii="Arial" w:hAnsi="Arial"/>
          <w:sz w:val="22"/>
        </w:rPr>
      </w:pPr>
      <w:r w:rsidRPr="00A96508">
        <w:rPr>
          <w:rFonts w:ascii="Arial" w:hAnsi="Arial"/>
          <w:sz w:val="22"/>
        </w:rPr>
        <w:t>За два последних года число за</w:t>
      </w:r>
      <w:r>
        <w:rPr>
          <w:rFonts w:ascii="Arial" w:hAnsi="Arial"/>
          <w:sz w:val="22"/>
        </w:rPr>
        <w:t xml:space="preserve">страхованных лиц, осуществляющих формирование пенсионных накоплений в негосударственных пенсионных фондах выросло </w:t>
      </w:r>
      <w:r w:rsidR="00AF0E12">
        <w:rPr>
          <w:rFonts w:ascii="Arial" w:hAnsi="Arial"/>
          <w:sz w:val="22"/>
        </w:rPr>
        <w:t>почти</w:t>
      </w:r>
      <w:r>
        <w:rPr>
          <w:rFonts w:ascii="Arial" w:hAnsi="Arial"/>
          <w:sz w:val="22"/>
        </w:rPr>
        <w:t xml:space="preserve"> в два раза, а сумма их пенсионных накоплений – в </w:t>
      </w:r>
      <w:r w:rsidR="00AF0E12">
        <w:rPr>
          <w:rFonts w:ascii="Arial" w:hAnsi="Arial"/>
          <w:sz w:val="22"/>
        </w:rPr>
        <w:t>2,87</w:t>
      </w:r>
      <w:r>
        <w:rPr>
          <w:rFonts w:ascii="Arial" w:hAnsi="Arial"/>
          <w:sz w:val="22"/>
        </w:rPr>
        <w:t xml:space="preserve"> раза.</w:t>
      </w:r>
    </w:p>
    <w:p w:rsidR="003E2D86" w:rsidRDefault="003E2D86" w:rsidP="009A29E9">
      <w:pPr>
        <w:ind w:firstLine="709"/>
        <w:jc w:val="both"/>
        <w:rPr>
          <w:rFonts w:ascii="Arial" w:hAnsi="Arial"/>
          <w:sz w:val="22"/>
        </w:rPr>
      </w:pPr>
    </w:p>
    <w:p w:rsidR="00D61605" w:rsidRDefault="00070027" w:rsidP="009A29E9">
      <w:pPr>
        <w:ind w:firstLine="709"/>
        <w:jc w:val="both"/>
        <w:rPr>
          <w:rFonts w:ascii="Arial" w:hAnsi="Arial"/>
          <w:sz w:val="22"/>
        </w:rPr>
      </w:pPr>
      <w:r>
        <w:rPr>
          <w:rFonts w:ascii="Arial" w:hAnsi="Arial"/>
          <w:sz w:val="22"/>
        </w:rPr>
        <w:lastRenderedPageBreak/>
        <w:t xml:space="preserve">Сведения о динамике поступления заявлений о переходе из Пенсионного фонда России в негосударственный пенсионный фонд или из одного фонда в другой представлены на диаграмме </w:t>
      </w:r>
      <w:r w:rsidR="007F38A6">
        <w:rPr>
          <w:rFonts w:ascii="Arial" w:hAnsi="Arial"/>
          <w:sz w:val="22"/>
        </w:rPr>
        <w:t>9</w:t>
      </w:r>
      <w:r>
        <w:rPr>
          <w:rFonts w:ascii="Arial" w:hAnsi="Arial"/>
          <w:sz w:val="22"/>
        </w:rPr>
        <w:t>.</w:t>
      </w:r>
    </w:p>
    <w:p w:rsidR="00280D09" w:rsidRDefault="00280D09" w:rsidP="00280D09">
      <w:pPr>
        <w:ind w:firstLine="709"/>
        <w:jc w:val="both"/>
        <w:rPr>
          <w:rFonts w:ascii="Arial" w:hAnsi="Arial"/>
          <w:sz w:val="22"/>
        </w:rPr>
      </w:pPr>
      <w:r w:rsidRPr="00280D09">
        <w:rPr>
          <w:rFonts w:ascii="Arial" w:hAnsi="Arial"/>
          <w:sz w:val="22"/>
        </w:rPr>
        <w:t>В 2012 году в Пенсионный фонд России поступило 8683 тыс. заявлений</w:t>
      </w:r>
      <w:r>
        <w:rPr>
          <w:rFonts w:ascii="Arial" w:hAnsi="Arial"/>
          <w:sz w:val="22"/>
        </w:rPr>
        <w:t xml:space="preserve"> </w:t>
      </w:r>
      <w:r w:rsidRPr="00280D09">
        <w:rPr>
          <w:rFonts w:ascii="Arial" w:hAnsi="Arial"/>
          <w:sz w:val="22"/>
        </w:rPr>
        <w:t xml:space="preserve">о выборе УК или НПФ. </w:t>
      </w:r>
      <w:r>
        <w:rPr>
          <w:rFonts w:ascii="Arial" w:hAnsi="Arial"/>
          <w:sz w:val="22"/>
        </w:rPr>
        <w:t>П</w:t>
      </w:r>
      <w:r w:rsidRPr="00280D09">
        <w:rPr>
          <w:rFonts w:ascii="Arial" w:hAnsi="Arial"/>
          <w:sz w:val="22"/>
        </w:rPr>
        <w:t xml:space="preserve">оложительное решение </w:t>
      </w:r>
      <w:r>
        <w:rPr>
          <w:rFonts w:ascii="Arial" w:hAnsi="Arial"/>
          <w:sz w:val="22"/>
        </w:rPr>
        <w:t>п</w:t>
      </w:r>
      <w:r w:rsidRPr="00280D09">
        <w:rPr>
          <w:rFonts w:ascii="Arial" w:hAnsi="Arial"/>
          <w:sz w:val="22"/>
        </w:rPr>
        <w:t>о результатам рассмотрения поданных гражданами заявлений было принято по 6300 тыс. заявлений. Отрицательное решение было принято по 2466 тыс. заявлений, или по 28,4% от общего количества поступивших заявлений.</w:t>
      </w:r>
    </w:p>
    <w:p w:rsidR="00907E81" w:rsidRPr="00907E81" w:rsidRDefault="00907E81" w:rsidP="00907E81">
      <w:pPr>
        <w:ind w:firstLine="709"/>
        <w:jc w:val="both"/>
        <w:rPr>
          <w:rFonts w:ascii="Arial" w:hAnsi="Arial"/>
          <w:sz w:val="22"/>
        </w:rPr>
      </w:pPr>
      <w:r>
        <w:rPr>
          <w:rFonts w:ascii="Arial" w:hAnsi="Arial"/>
          <w:sz w:val="22"/>
        </w:rPr>
        <w:t xml:space="preserve">Из общего числа </w:t>
      </w:r>
      <w:r w:rsidR="00044F40" w:rsidRPr="00044F40">
        <w:rPr>
          <w:rFonts w:ascii="Arial" w:hAnsi="Arial"/>
          <w:sz w:val="22"/>
        </w:rPr>
        <w:t xml:space="preserve">6,3 млн. </w:t>
      </w:r>
      <w:r>
        <w:rPr>
          <w:rFonts w:ascii="Arial" w:hAnsi="Arial"/>
          <w:sz w:val="22"/>
        </w:rPr>
        <w:t>у</w:t>
      </w:r>
      <w:r w:rsidRPr="00907E81">
        <w:rPr>
          <w:rFonts w:ascii="Arial" w:hAnsi="Arial"/>
          <w:sz w:val="22"/>
        </w:rPr>
        <w:t>довлетворен</w:t>
      </w:r>
      <w:r>
        <w:rPr>
          <w:rFonts w:ascii="Arial" w:hAnsi="Arial"/>
          <w:sz w:val="22"/>
        </w:rPr>
        <w:t>ных заявлений</w:t>
      </w:r>
      <w:r w:rsidRPr="00907E81">
        <w:rPr>
          <w:rFonts w:ascii="Arial" w:hAnsi="Arial"/>
          <w:sz w:val="22"/>
        </w:rPr>
        <w:t xml:space="preserve"> </w:t>
      </w:r>
      <w:r w:rsidR="00044F40">
        <w:rPr>
          <w:rFonts w:ascii="Arial" w:hAnsi="Arial"/>
          <w:sz w:val="22"/>
        </w:rPr>
        <w:t>п</w:t>
      </w:r>
      <w:r>
        <w:rPr>
          <w:rFonts w:ascii="Arial" w:hAnsi="Arial"/>
          <w:sz w:val="22"/>
        </w:rPr>
        <w:t>о видам переходов удовлетворено</w:t>
      </w:r>
      <w:r w:rsidR="0083132C">
        <w:rPr>
          <w:rFonts w:ascii="Arial" w:hAnsi="Arial"/>
          <w:sz w:val="22"/>
        </w:rPr>
        <w:t xml:space="preserve"> (таблица 3)</w:t>
      </w:r>
      <w:r>
        <w:rPr>
          <w:rFonts w:ascii="Arial" w:hAnsi="Arial"/>
          <w:sz w:val="22"/>
        </w:rPr>
        <w:t>:</w:t>
      </w:r>
    </w:p>
    <w:p w:rsidR="0083132C" w:rsidRDefault="0083132C" w:rsidP="0083132C">
      <w:pPr>
        <w:ind w:firstLine="709"/>
        <w:jc w:val="right"/>
        <w:rPr>
          <w:rFonts w:ascii="Arial" w:hAnsi="Arial"/>
          <w:sz w:val="22"/>
        </w:rPr>
      </w:pPr>
      <w:r>
        <w:rPr>
          <w:rFonts w:ascii="Arial" w:hAnsi="Arial"/>
          <w:sz w:val="22"/>
        </w:rPr>
        <w:t>Таблица 3</w:t>
      </w:r>
    </w:p>
    <w:tbl>
      <w:tblPr>
        <w:tblStyle w:val="a3"/>
        <w:tblW w:w="0" w:type="auto"/>
        <w:tblLook w:val="04A0" w:firstRow="1" w:lastRow="0" w:firstColumn="1" w:lastColumn="0" w:noHBand="0" w:noVBand="1"/>
      </w:tblPr>
      <w:tblGrid>
        <w:gridCol w:w="4077"/>
        <w:gridCol w:w="2694"/>
        <w:gridCol w:w="2800"/>
      </w:tblGrid>
      <w:tr w:rsidR="0083132C" w:rsidTr="0083132C">
        <w:tc>
          <w:tcPr>
            <w:tcW w:w="4077" w:type="dxa"/>
          </w:tcPr>
          <w:p w:rsidR="0083132C" w:rsidRDefault="0083132C" w:rsidP="00907E81">
            <w:pPr>
              <w:jc w:val="both"/>
              <w:rPr>
                <w:rFonts w:ascii="Arial" w:hAnsi="Arial"/>
                <w:sz w:val="22"/>
              </w:rPr>
            </w:pPr>
            <w:r>
              <w:rPr>
                <w:rFonts w:ascii="Arial" w:hAnsi="Arial"/>
                <w:sz w:val="22"/>
              </w:rPr>
              <w:t>Вид заявлений</w:t>
            </w:r>
          </w:p>
        </w:tc>
        <w:tc>
          <w:tcPr>
            <w:tcW w:w="2694" w:type="dxa"/>
          </w:tcPr>
          <w:p w:rsidR="0083132C" w:rsidRDefault="0083132C" w:rsidP="00907E81">
            <w:pPr>
              <w:jc w:val="both"/>
              <w:rPr>
                <w:rFonts w:ascii="Arial" w:hAnsi="Arial"/>
                <w:sz w:val="22"/>
              </w:rPr>
            </w:pPr>
            <w:r>
              <w:rPr>
                <w:rFonts w:ascii="Arial" w:hAnsi="Arial"/>
                <w:sz w:val="22"/>
              </w:rPr>
              <w:t>Количество удовлетворенных заявлений в 2012 году</w:t>
            </w:r>
          </w:p>
          <w:p w:rsidR="0083132C" w:rsidRDefault="0083132C" w:rsidP="00907E81">
            <w:pPr>
              <w:jc w:val="both"/>
              <w:rPr>
                <w:rFonts w:ascii="Arial" w:hAnsi="Arial"/>
                <w:sz w:val="22"/>
              </w:rPr>
            </w:pPr>
            <w:r>
              <w:rPr>
                <w:rFonts w:ascii="Arial" w:hAnsi="Arial"/>
                <w:sz w:val="22"/>
              </w:rPr>
              <w:t>(тыс. штук)</w:t>
            </w:r>
          </w:p>
        </w:tc>
        <w:tc>
          <w:tcPr>
            <w:tcW w:w="2800" w:type="dxa"/>
          </w:tcPr>
          <w:p w:rsidR="0083132C" w:rsidRDefault="0083132C" w:rsidP="0083132C">
            <w:pPr>
              <w:jc w:val="both"/>
              <w:rPr>
                <w:rFonts w:ascii="Arial" w:hAnsi="Arial"/>
                <w:sz w:val="22"/>
              </w:rPr>
            </w:pPr>
            <w:r w:rsidRPr="0083132C">
              <w:rPr>
                <w:rFonts w:ascii="Arial" w:hAnsi="Arial"/>
                <w:sz w:val="22"/>
              </w:rPr>
              <w:t>Количество удовлетворенных заявлений в 201</w:t>
            </w:r>
            <w:r>
              <w:rPr>
                <w:rFonts w:ascii="Arial" w:hAnsi="Arial"/>
                <w:sz w:val="22"/>
              </w:rPr>
              <w:t>1</w:t>
            </w:r>
            <w:r w:rsidRPr="0083132C">
              <w:rPr>
                <w:rFonts w:ascii="Arial" w:hAnsi="Arial"/>
                <w:sz w:val="22"/>
              </w:rPr>
              <w:t xml:space="preserve"> году</w:t>
            </w:r>
          </w:p>
          <w:p w:rsidR="0083132C" w:rsidRDefault="0083132C" w:rsidP="0083132C">
            <w:pPr>
              <w:jc w:val="both"/>
              <w:rPr>
                <w:rFonts w:ascii="Arial" w:hAnsi="Arial"/>
                <w:sz w:val="22"/>
              </w:rPr>
            </w:pPr>
            <w:r w:rsidRPr="0083132C">
              <w:rPr>
                <w:rFonts w:ascii="Arial" w:hAnsi="Arial"/>
                <w:sz w:val="22"/>
              </w:rPr>
              <w:t>(тыс. штук)</w:t>
            </w:r>
          </w:p>
        </w:tc>
      </w:tr>
      <w:tr w:rsidR="0083132C" w:rsidTr="0083132C">
        <w:tc>
          <w:tcPr>
            <w:tcW w:w="4077" w:type="dxa"/>
          </w:tcPr>
          <w:p w:rsidR="0083132C" w:rsidRDefault="0083132C" w:rsidP="00907E81">
            <w:pPr>
              <w:jc w:val="both"/>
              <w:rPr>
                <w:rFonts w:ascii="Arial" w:hAnsi="Arial"/>
                <w:sz w:val="22"/>
              </w:rPr>
            </w:pPr>
            <w:r w:rsidRPr="0083132C">
              <w:rPr>
                <w:rFonts w:ascii="Arial" w:hAnsi="Arial"/>
                <w:sz w:val="22"/>
              </w:rPr>
              <w:t>О переходе из ПФР в НПФ</w:t>
            </w:r>
          </w:p>
        </w:tc>
        <w:tc>
          <w:tcPr>
            <w:tcW w:w="2694" w:type="dxa"/>
          </w:tcPr>
          <w:p w:rsidR="0083132C" w:rsidRDefault="0083132C" w:rsidP="00907E81">
            <w:pPr>
              <w:jc w:val="both"/>
              <w:rPr>
                <w:rFonts w:ascii="Arial" w:hAnsi="Arial"/>
                <w:sz w:val="22"/>
              </w:rPr>
            </w:pPr>
            <w:r w:rsidRPr="0083132C">
              <w:rPr>
                <w:rFonts w:ascii="Arial" w:hAnsi="Arial"/>
                <w:sz w:val="22"/>
              </w:rPr>
              <w:t>4770</w:t>
            </w:r>
          </w:p>
        </w:tc>
        <w:tc>
          <w:tcPr>
            <w:tcW w:w="2800" w:type="dxa"/>
          </w:tcPr>
          <w:p w:rsidR="0083132C" w:rsidRPr="0083132C" w:rsidRDefault="0083132C" w:rsidP="0083132C">
            <w:pPr>
              <w:jc w:val="both"/>
              <w:rPr>
                <w:rFonts w:ascii="Arial" w:hAnsi="Arial"/>
                <w:sz w:val="22"/>
              </w:rPr>
            </w:pPr>
            <w:r w:rsidRPr="0083132C">
              <w:rPr>
                <w:rFonts w:ascii="Arial" w:hAnsi="Arial"/>
                <w:sz w:val="22"/>
              </w:rPr>
              <w:t>4500</w:t>
            </w:r>
          </w:p>
        </w:tc>
      </w:tr>
      <w:tr w:rsidR="0083132C" w:rsidTr="0083132C">
        <w:tc>
          <w:tcPr>
            <w:tcW w:w="4077" w:type="dxa"/>
          </w:tcPr>
          <w:p w:rsidR="0083132C" w:rsidRPr="0083132C" w:rsidRDefault="0083132C" w:rsidP="00907E81">
            <w:pPr>
              <w:jc w:val="both"/>
              <w:rPr>
                <w:rFonts w:ascii="Arial" w:hAnsi="Arial"/>
                <w:sz w:val="22"/>
              </w:rPr>
            </w:pPr>
            <w:r w:rsidRPr="0083132C">
              <w:rPr>
                <w:rFonts w:ascii="Arial" w:hAnsi="Arial"/>
                <w:sz w:val="22"/>
              </w:rPr>
              <w:t>О переходе из одного НПФ в другой</w:t>
            </w:r>
          </w:p>
        </w:tc>
        <w:tc>
          <w:tcPr>
            <w:tcW w:w="2694" w:type="dxa"/>
          </w:tcPr>
          <w:p w:rsidR="0083132C" w:rsidRPr="0083132C" w:rsidRDefault="0083132C" w:rsidP="00907E81">
            <w:pPr>
              <w:jc w:val="both"/>
              <w:rPr>
                <w:rFonts w:ascii="Arial" w:hAnsi="Arial"/>
                <w:sz w:val="22"/>
              </w:rPr>
            </w:pPr>
            <w:r w:rsidRPr="0083132C">
              <w:rPr>
                <w:rFonts w:ascii="Arial" w:hAnsi="Arial"/>
                <w:sz w:val="22"/>
              </w:rPr>
              <w:t>1341</w:t>
            </w:r>
          </w:p>
        </w:tc>
        <w:tc>
          <w:tcPr>
            <w:tcW w:w="2800" w:type="dxa"/>
          </w:tcPr>
          <w:p w:rsidR="0083132C" w:rsidRPr="0083132C" w:rsidRDefault="0083132C" w:rsidP="0083132C">
            <w:pPr>
              <w:jc w:val="both"/>
              <w:rPr>
                <w:rFonts w:ascii="Arial" w:hAnsi="Arial"/>
                <w:sz w:val="22"/>
              </w:rPr>
            </w:pPr>
            <w:r w:rsidRPr="0083132C">
              <w:rPr>
                <w:rFonts w:ascii="Arial" w:hAnsi="Arial"/>
                <w:sz w:val="22"/>
              </w:rPr>
              <w:t>699</w:t>
            </w:r>
          </w:p>
        </w:tc>
      </w:tr>
      <w:tr w:rsidR="0083132C" w:rsidTr="0083132C">
        <w:tc>
          <w:tcPr>
            <w:tcW w:w="4077" w:type="dxa"/>
          </w:tcPr>
          <w:p w:rsidR="0083132C" w:rsidRPr="0083132C" w:rsidRDefault="0083132C" w:rsidP="00907E81">
            <w:pPr>
              <w:jc w:val="both"/>
              <w:rPr>
                <w:rFonts w:ascii="Arial" w:hAnsi="Arial"/>
                <w:sz w:val="22"/>
              </w:rPr>
            </w:pPr>
            <w:r w:rsidRPr="0083132C">
              <w:rPr>
                <w:rFonts w:ascii="Arial" w:hAnsi="Arial"/>
                <w:sz w:val="22"/>
              </w:rPr>
              <w:t>О переходе из НПФ в ПФР</w:t>
            </w:r>
          </w:p>
        </w:tc>
        <w:tc>
          <w:tcPr>
            <w:tcW w:w="2694" w:type="dxa"/>
          </w:tcPr>
          <w:p w:rsidR="0083132C" w:rsidRPr="0083132C" w:rsidRDefault="0083132C" w:rsidP="00907E81">
            <w:pPr>
              <w:jc w:val="both"/>
              <w:rPr>
                <w:rFonts w:ascii="Arial" w:hAnsi="Arial"/>
                <w:sz w:val="22"/>
              </w:rPr>
            </w:pPr>
            <w:r w:rsidRPr="0083132C">
              <w:rPr>
                <w:rFonts w:ascii="Arial" w:hAnsi="Arial"/>
                <w:sz w:val="22"/>
              </w:rPr>
              <w:t>150</w:t>
            </w:r>
          </w:p>
        </w:tc>
        <w:tc>
          <w:tcPr>
            <w:tcW w:w="2800" w:type="dxa"/>
            <w:vMerge w:val="restart"/>
          </w:tcPr>
          <w:p w:rsidR="0083132C" w:rsidRPr="0083132C" w:rsidRDefault="0083132C" w:rsidP="0083132C">
            <w:pPr>
              <w:jc w:val="both"/>
              <w:rPr>
                <w:rFonts w:ascii="Arial" w:hAnsi="Arial"/>
                <w:sz w:val="22"/>
              </w:rPr>
            </w:pPr>
            <w:r>
              <w:rPr>
                <w:rFonts w:ascii="Arial" w:hAnsi="Arial"/>
                <w:sz w:val="22"/>
              </w:rPr>
              <w:t>120 суммарно на переход в ПФР и УК</w:t>
            </w:r>
          </w:p>
        </w:tc>
      </w:tr>
      <w:tr w:rsidR="0083132C" w:rsidTr="0083132C">
        <w:tc>
          <w:tcPr>
            <w:tcW w:w="4077" w:type="dxa"/>
          </w:tcPr>
          <w:p w:rsidR="0083132C" w:rsidRPr="0083132C" w:rsidRDefault="0083132C" w:rsidP="0083132C">
            <w:pPr>
              <w:rPr>
                <w:rFonts w:ascii="Arial" w:hAnsi="Arial"/>
                <w:sz w:val="22"/>
              </w:rPr>
            </w:pPr>
            <w:r w:rsidRPr="0083132C">
              <w:rPr>
                <w:rFonts w:ascii="Arial" w:hAnsi="Arial"/>
                <w:sz w:val="22"/>
              </w:rPr>
              <w:t xml:space="preserve">О выборе </w:t>
            </w:r>
            <w:r>
              <w:rPr>
                <w:rFonts w:ascii="Arial" w:hAnsi="Arial"/>
                <w:sz w:val="22"/>
              </w:rPr>
              <w:t>УК</w:t>
            </w:r>
          </w:p>
        </w:tc>
        <w:tc>
          <w:tcPr>
            <w:tcW w:w="2694" w:type="dxa"/>
          </w:tcPr>
          <w:p w:rsidR="0083132C" w:rsidRPr="0083132C" w:rsidRDefault="0083132C" w:rsidP="00907E81">
            <w:pPr>
              <w:jc w:val="both"/>
              <w:rPr>
                <w:rFonts w:ascii="Arial" w:hAnsi="Arial"/>
                <w:sz w:val="22"/>
              </w:rPr>
            </w:pPr>
            <w:r w:rsidRPr="0083132C">
              <w:rPr>
                <w:rFonts w:ascii="Arial" w:hAnsi="Arial"/>
                <w:sz w:val="22"/>
              </w:rPr>
              <w:t>16</w:t>
            </w:r>
          </w:p>
        </w:tc>
        <w:tc>
          <w:tcPr>
            <w:tcW w:w="2800" w:type="dxa"/>
            <w:vMerge/>
          </w:tcPr>
          <w:p w:rsidR="0083132C" w:rsidRPr="0083132C" w:rsidRDefault="0083132C" w:rsidP="0083132C">
            <w:pPr>
              <w:jc w:val="both"/>
              <w:rPr>
                <w:rFonts w:ascii="Arial" w:hAnsi="Arial"/>
                <w:sz w:val="22"/>
              </w:rPr>
            </w:pPr>
          </w:p>
        </w:tc>
      </w:tr>
    </w:tbl>
    <w:p w:rsidR="00907E81" w:rsidRPr="00907E81" w:rsidRDefault="00907E81" w:rsidP="00907E81">
      <w:pPr>
        <w:ind w:firstLine="709"/>
        <w:jc w:val="both"/>
        <w:rPr>
          <w:rFonts w:ascii="Arial" w:hAnsi="Arial"/>
          <w:sz w:val="22"/>
        </w:rPr>
      </w:pPr>
    </w:p>
    <w:p w:rsidR="00907E81" w:rsidRPr="00907E81" w:rsidRDefault="008F1D34" w:rsidP="00907E81">
      <w:pPr>
        <w:ind w:firstLine="709"/>
        <w:jc w:val="both"/>
        <w:rPr>
          <w:rFonts w:ascii="Arial" w:hAnsi="Arial"/>
          <w:sz w:val="22"/>
        </w:rPr>
      </w:pPr>
      <w:r>
        <w:rPr>
          <w:rFonts w:ascii="Arial" w:hAnsi="Arial"/>
          <w:sz w:val="22"/>
        </w:rPr>
        <w:t>По итогам кампании 2012 года НЧТП формируют всего 77 млн. человек, в том числе::</w:t>
      </w:r>
    </w:p>
    <w:p w:rsidR="00907E81" w:rsidRPr="008F1D34" w:rsidRDefault="008F1D34" w:rsidP="008F1D34">
      <w:pPr>
        <w:pStyle w:val="a7"/>
        <w:numPr>
          <w:ilvl w:val="0"/>
          <w:numId w:val="2"/>
        </w:numPr>
        <w:jc w:val="both"/>
        <w:rPr>
          <w:rFonts w:ascii="Arial" w:hAnsi="Arial"/>
          <w:sz w:val="22"/>
        </w:rPr>
      </w:pPr>
      <w:r>
        <w:rPr>
          <w:rFonts w:ascii="Arial" w:hAnsi="Arial"/>
          <w:sz w:val="22"/>
        </w:rPr>
        <w:t>в Г</w:t>
      </w:r>
      <w:r w:rsidR="00907E81" w:rsidRPr="008F1D34">
        <w:rPr>
          <w:rFonts w:ascii="Arial" w:hAnsi="Arial"/>
          <w:sz w:val="22"/>
        </w:rPr>
        <w:t xml:space="preserve">осударственной управляющей компании - </w:t>
      </w:r>
      <w:r w:rsidR="00907E81" w:rsidRPr="008F1D34">
        <w:rPr>
          <w:rFonts w:ascii="Arial" w:hAnsi="Arial"/>
          <w:sz w:val="22"/>
        </w:rPr>
        <w:tab/>
        <w:t>56,5 млн. человек;</w:t>
      </w:r>
    </w:p>
    <w:p w:rsidR="00907E81" w:rsidRPr="008F1D34" w:rsidRDefault="008F1D34" w:rsidP="008F1D34">
      <w:pPr>
        <w:pStyle w:val="a7"/>
        <w:numPr>
          <w:ilvl w:val="0"/>
          <w:numId w:val="2"/>
        </w:numPr>
        <w:jc w:val="both"/>
        <w:rPr>
          <w:rFonts w:ascii="Arial" w:hAnsi="Arial"/>
          <w:sz w:val="22"/>
        </w:rPr>
      </w:pPr>
      <w:r>
        <w:rPr>
          <w:rFonts w:ascii="Arial" w:hAnsi="Arial"/>
          <w:sz w:val="22"/>
        </w:rPr>
        <w:t>в</w:t>
      </w:r>
      <w:r w:rsidR="00907E81" w:rsidRPr="008F1D34">
        <w:rPr>
          <w:rFonts w:ascii="Arial" w:hAnsi="Arial"/>
          <w:sz w:val="22"/>
        </w:rPr>
        <w:t xml:space="preserve"> негосударственных пенсионных фондах -     </w:t>
      </w:r>
      <w:r w:rsidR="00044F40">
        <w:rPr>
          <w:rFonts w:ascii="Arial" w:hAnsi="Arial"/>
          <w:sz w:val="22"/>
        </w:rPr>
        <w:t xml:space="preserve">      </w:t>
      </w:r>
      <w:r w:rsidR="00907E81" w:rsidRPr="008F1D34">
        <w:rPr>
          <w:rFonts w:ascii="Arial" w:hAnsi="Arial"/>
          <w:sz w:val="22"/>
        </w:rPr>
        <w:t>около 20 млн. человек;</w:t>
      </w:r>
    </w:p>
    <w:p w:rsidR="00907E81" w:rsidRPr="008F1D34" w:rsidRDefault="008F1D34" w:rsidP="008F1D34">
      <w:pPr>
        <w:pStyle w:val="a7"/>
        <w:numPr>
          <w:ilvl w:val="0"/>
          <w:numId w:val="2"/>
        </w:numPr>
        <w:jc w:val="both"/>
        <w:rPr>
          <w:rFonts w:ascii="Arial" w:hAnsi="Arial"/>
          <w:sz w:val="22"/>
        </w:rPr>
      </w:pPr>
      <w:r>
        <w:rPr>
          <w:rFonts w:ascii="Arial" w:hAnsi="Arial"/>
          <w:sz w:val="22"/>
        </w:rPr>
        <w:t>в</w:t>
      </w:r>
      <w:r w:rsidR="00907E81" w:rsidRPr="008F1D34">
        <w:rPr>
          <w:rFonts w:ascii="Arial" w:hAnsi="Arial"/>
          <w:sz w:val="22"/>
        </w:rPr>
        <w:t xml:space="preserve"> частных управляющих компаниях - </w:t>
      </w:r>
      <w:r w:rsidR="00907E81" w:rsidRPr="008F1D34">
        <w:rPr>
          <w:rFonts w:ascii="Arial" w:hAnsi="Arial"/>
          <w:sz w:val="22"/>
        </w:rPr>
        <w:tab/>
      </w:r>
      <w:r>
        <w:rPr>
          <w:rFonts w:ascii="Arial" w:hAnsi="Arial"/>
          <w:sz w:val="22"/>
        </w:rPr>
        <w:tab/>
        <w:t xml:space="preserve">        </w:t>
      </w:r>
      <w:r w:rsidR="00907E81" w:rsidRPr="008F1D34">
        <w:rPr>
          <w:rFonts w:ascii="Arial" w:hAnsi="Arial"/>
          <w:sz w:val="22"/>
        </w:rPr>
        <w:t xml:space="preserve">   0,</w:t>
      </w:r>
      <w:r w:rsidRPr="008F1D34">
        <w:rPr>
          <w:rFonts w:ascii="Arial" w:hAnsi="Arial"/>
          <w:sz w:val="22"/>
        </w:rPr>
        <w:t>4</w:t>
      </w:r>
      <w:r w:rsidR="00907E81" w:rsidRPr="008F1D34">
        <w:rPr>
          <w:rFonts w:ascii="Arial" w:hAnsi="Arial"/>
          <w:sz w:val="22"/>
        </w:rPr>
        <w:t>99 млн. человек.</w:t>
      </w:r>
    </w:p>
    <w:p w:rsidR="00907E81" w:rsidRDefault="008F1D34" w:rsidP="00907E81">
      <w:pPr>
        <w:ind w:firstLine="709"/>
        <w:jc w:val="both"/>
        <w:rPr>
          <w:rFonts w:ascii="Arial" w:hAnsi="Arial"/>
          <w:sz w:val="22"/>
        </w:rPr>
      </w:pPr>
      <w:r>
        <w:rPr>
          <w:rFonts w:ascii="Arial" w:hAnsi="Arial"/>
          <w:sz w:val="22"/>
        </w:rPr>
        <w:t>Отметим, что по итогам 2002 года - первого года осуществления выбора способа инвестирования пенсионных накоплений (в отсутствие негосударственных пенсионных фондов) частные управляющие компании выбрали 700 тыс.</w:t>
      </w:r>
      <w:r w:rsidR="00907E81" w:rsidRPr="00907E81">
        <w:rPr>
          <w:rFonts w:ascii="Arial" w:hAnsi="Arial"/>
          <w:sz w:val="22"/>
        </w:rPr>
        <w:t xml:space="preserve"> человек</w:t>
      </w:r>
      <w:r>
        <w:rPr>
          <w:rFonts w:ascii="Arial" w:hAnsi="Arial"/>
          <w:sz w:val="22"/>
        </w:rPr>
        <w:t>.</w:t>
      </w:r>
    </w:p>
    <w:p w:rsidR="00907E81" w:rsidRPr="00280D09" w:rsidRDefault="00907E81" w:rsidP="00280D09">
      <w:pPr>
        <w:ind w:firstLine="709"/>
        <w:jc w:val="both"/>
        <w:rPr>
          <w:rFonts w:ascii="Arial" w:hAnsi="Arial"/>
          <w:sz w:val="22"/>
        </w:rPr>
      </w:pPr>
    </w:p>
    <w:p w:rsidR="00233993" w:rsidRDefault="003D1743" w:rsidP="00280D09">
      <w:pPr>
        <w:ind w:firstLine="709"/>
        <w:jc w:val="both"/>
        <w:rPr>
          <w:rFonts w:ascii="Arial" w:hAnsi="Arial"/>
          <w:sz w:val="22"/>
        </w:rPr>
      </w:pPr>
      <w:r>
        <w:rPr>
          <w:rFonts w:ascii="Arial" w:hAnsi="Arial"/>
          <w:sz w:val="22"/>
        </w:rPr>
        <w:t>Из</w:t>
      </w:r>
      <w:r w:rsidR="00233993">
        <w:rPr>
          <w:rFonts w:ascii="Arial" w:hAnsi="Arial"/>
          <w:sz w:val="22"/>
        </w:rPr>
        <w:t xml:space="preserve"> числ</w:t>
      </w:r>
      <w:r>
        <w:rPr>
          <w:rFonts w:ascii="Arial" w:hAnsi="Arial"/>
          <w:sz w:val="22"/>
        </w:rPr>
        <w:t>а</w:t>
      </w:r>
      <w:r w:rsidR="00233993">
        <w:rPr>
          <w:rFonts w:ascii="Arial" w:hAnsi="Arial"/>
          <w:sz w:val="22"/>
        </w:rPr>
        <w:t xml:space="preserve"> </w:t>
      </w:r>
      <w:r w:rsidR="00AB6A47">
        <w:rPr>
          <w:rFonts w:ascii="Arial" w:hAnsi="Arial"/>
          <w:sz w:val="22"/>
        </w:rPr>
        <w:t>застрахованных лиц, выбравших в 201</w:t>
      </w:r>
      <w:r w:rsidR="00233993">
        <w:rPr>
          <w:rFonts w:ascii="Arial" w:hAnsi="Arial"/>
          <w:sz w:val="22"/>
        </w:rPr>
        <w:t>2</w:t>
      </w:r>
      <w:r w:rsidR="00AB6A47">
        <w:rPr>
          <w:rFonts w:ascii="Arial" w:hAnsi="Arial"/>
          <w:sz w:val="22"/>
        </w:rPr>
        <w:t xml:space="preserve"> году негосударственные пенсионные фонды, </w:t>
      </w:r>
      <w:r>
        <w:rPr>
          <w:rFonts w:ascii="Arial" w:hAnsi="Arial"/>
          <w:sz w:val="22"/>
        </w:rPr>
        <w:t xml:space="preserve">2116 тыс. человек </w:t>
      </w:r>
      <w:r w:rsidR="00233993">
        <w:rPr>
          <w:rFonts w:ascii="Arial" w:hAnsi="Arial"/>
          <w:sz w:val="22"/>
        </w:rPr>
        <w:t>(44,36%</w:t>
      </w:r>
      <w:r>
        <w:rPr>
          <w:rFonts w:ascii="Arial" w:hAnsi="Arial"/>
          <w:sz w:val="22"/>
        </w:rPr>
        <w:t xml:space="preserve"> застрахованных лиц, перешедших из ПФР в НПФ</w:t>
      </w:r>
      <w:r w:rsidR="00233993">
        <w:rPr>
          <w:rFonts w:ascii="Arial" w:hAnsi="Arial"/>
          <w:sz w:val="22"/>
        </w:rPr>
        <w:t xml:space="preserve">) </w:t>
      </w:r>
      <w:r w:rsidR="00AB6A47">
        <w:rPr>
          <w:rFonts w:ascii="Arial" w:hAnsi="Arial"/>
          <w:sz w:val="22"/>
        </w:rPr>
        <w:t xml:space="preserve">одновременно с заявлением о переходе в НПФ написали заявление о вступлении в программу государственного софинансирования. </w:t>
      </w:r>
    </w:p>
    <w:p w:rsidR="00280D09" w:rsidRDefault="008F1D34" w:rsidP="009A29E9">
      <w:pPr>
        <w:ind w:firstLine="709"/>
        <w:jc w:val="both"/>
        <w:rPr>
          <w:rFonts w:ascii="Arial" w:hAnsi="Arial"/>
          <w:sz w:val="22"/>
        </w:rPr>
      </w:pPr>
      <w:r w:rsidRPr="008F1D34">
        <w:rPr>
          <w:rFonts w:ascii="Arial" w:hAnsi="Arial"/>
          <w:sz w:val="22"/>
        </w:rPr>
        <w:t xml:space="preserve">Общая сумма передаваемых </w:t>
      </w:r>
      <w:r w:rsidR="00EB0D06">
        <w:rPr>
          <w:rFonts w:ascii="Arial" w:hAnsi="Arial"/>
          <w:sz w:val="22"/>
        </w:rPr>
        <w:t xml:space="preserve">по итогам кампании 2012 года из ПФР </w:t>
      </w:r>
      <w:r w:rsidRPr="008F1D34">
        <w:rPr>
          <w:rFonts w:ascii="Arial" w:hAnsi="Arial"/>
          <w:sz w:val="22"/>
        </w:rPr>
        <w:t>в НПФ средств – 14</w:t>
      </w:r>
      <w:r>
        <w:rPr>
          <w:rFonts w:ascii="Arial" w:hAnsi="Arial"/>
          <w:sz w:val="22"/>
        </w:rPr>
        <w:t>4,0</w:t>
      </w:r>
      <w:r w:rsidRPr="008F1D34">
        <w:rPr>
          <w:rFonts w:ascii="Arial" w:hAnsi="Arial"/>
          <w:sz w:val="22"/>
        </w:rPr>
        <w:t xml:space="preserve"> мл</w:t>
      </w:r>
      <w:r>
        <w:rPr>
          <w:rFonts w:ascii="Arial" w:hAnsi="Arial"/>
          <w:sz w:val="22"/>
        </w:rPr>
        <w:t>рд</w:t>
      </w:r>
      <w:r w:rsidRPr="008F1D34">
        <w:rPr>
          <w:rFonts w:ascii="Arial" w:hAnsi="Arial"/>
          <w:sz w:val="22"/>
        </w:rPr>
        <w:t>. рублей</w:t>
      </w:r>
      <w:r>
        <w:rPr>
          <w:rFonts w:ascii="Arial" w:hAnsi="Arial"/>
          <w:sz w:val="22"/>
        </w:rPr>
        <w:t xml:space="preserve">. </w:t>
      </w:r>
      <w:r w:rsidR="00AB6A47">
        <w:rPr>
          <w:rFonts w:ascii="Arial" w:hAnsi="Arial"/>
          <w:sz w:val="22"/>
        </w:rPr>
        <w:t xml:space="preserve">Пенсионные накопления </w:t>
      </w:r>
      <w:r w:rsidR="00EB0D06" w:rsidRPr="00EB0D06">
        <w:rPr>
          <w:rFonts w:ascii="Arial" w:hAnsi="Arial"/>
          <w:sz w:val="22"/>
        </w:rPr>
        <w:t xml:space="preserve">в размере 53,7 млрд. рублей </w:t>
      </w:r>
      <w:r w:rsidR="00AB6A47">
        <w:rPr>
          <w:rFonts w:ascii="Arial" w:hAnsi="Arial"/>
          <w:sz w:val="22"/>
        </w:rPr>
        <w:t>граждан</w:t>
      </w:r>
      <w:r>
        <w:rPr>
          <w:rFonts w:ascii="Arial" w:hAnsi="Arial"/>
          <w:sz w:val="22"/>
        </w:rPr>
        <w:t>, вступивших в программу государственного софинансирования</w:t>
      </w:r>
      <w:r w:rsidR="00EB0D06">
        <w:rPr>
          <w:rFonts w:ascii="Arial" w:hAnsi="Arial"/>
          <w:sz w:val="22"/>
        </w:rPr>
        <w:t>,</w:t>
      </w:r>
      <w:r w:rsidR="00AB6A47">
        <w:rPr>
          <w:rFonts w:ascii="Arial" w:hAnsi="Arial"/>
          <w:sz w:val="22"/>
        </w:rPr>
        <w:t xml:space="preserve"> были переведены в НПФ в течение года в соответствии с положениями Федерального закона № 56-ФЗ.</w:t>
      </w:r>
      <w:r w:rsidR="00233993">
        <w:rPr>
          <w:rFonts w:ascii="Arial" w:hAnsi="Arial"/>
          <w:sz w:val="22"/>
        </w:rPr>
        <w:t xml:space="preserve"> Остальные 90,3 млрд. рублей </w:t>
      </w:r>
      <w:r w:rsidR="00280D09" w:rsidRPr="00280D09">
        <w:rPr>
          <w:rFonts w:ascii="Arial" w:hAnsi="Arial"/>
          <w:sz w:val="22"/>
        </w:rPr>
        <w:t>переведены из Пенсионного фонда России в НПФ в марте 201</w:t>
      </w:r>
      <w:r w:rsidR="00233993">
        <w:rPr>
          <w:rFonts w:ascii="Arial" w:hAnsi="Arial"/>
          <w:sz w:val="22"/>
        </w:rPr>
        <w:t>3</w:t>
      </w:r>
      <w:r w:rsidR="00280D09" w:rsidRPr="00280D09">
        <w:rPr>
          <w:rFonts w:ascii="Arial" w:hAnsi="Arial"/>
          <w:sz w:val="22"/>
        </w:rPr>
        <w:t xml:space="preserve"> года.</w:t>
      </w:r>
    </w:p>
    <w:p w:rsidR="00A202CB" w:rsidRDefault="00A202CB" w:rsidP="009A29E9">
      <w:pPr>
        <w:ind w:firstLine="709"/>
        <w:jc w:val="both"/>
        <w:rPr>
          <w:rFonts w:ascii="Arial" w:hAnsi="Arial"/>
          <w:sz w:val="22"/>
        </w:rPr>
      </w:pPr>
    </w:p>
    <w:p w:rsidR="009E277D" w:rsidRPr="009E277D" w:rsidRDefault="009E277D" w:rsidP="009E277D">
      <w:pPr>
        <w:ind w:firstLine="709"/>
        <w:jc w:val="both"/>
        <w:rPr>
          <w:rFonts w:ascii="Arial" w:hAnsi="Arial"/>
          <w:sz w:val="22"/>
        </w:rPr>
      </w:pPr>
      <w:r w:rsidRPr="009E277D">
        <w:rPr>
          <w:rFonts w:ascii="Arial" w:hAnsi="Arial"/>
          <w:sz w:val="22"/>
        </w:rPr>
        <w:t xml:space="preserve">За истекшие девять кампаний по «пенсионным выборам» негосударственным пенсионным фондам доверили накопительную часть своей трудовой пенсии (НЧТП) свыше 20 млн. человек (26,0% от 77,0 млн. граждан, у которых по данным ПФР формируются пенсионные накопления). Активность населения существенно отличается по регионам России. Если, например, в Республике Татарстан из общего числа застрахованных лиц, имеющих право на НЧТП, свыше 40% выбрали НПФ или частные УК, в Новосибирской области – 35%, а в Нижегородской области – 30%, то в республиках Мордовия и Калмыкия этот показатель составляет 2,6% и 0,6% соответственно. </w:t>
      </w:r>
    </w:p>
    <w:p w:rsidR="009E277D" w:rsidRDefault="009E277D" w:rsidP="009E277D">
      <w:pPr>
        <w:ind w:firstLine="709"/>
        <w:jc w:val="both"/>
        <w:rPr>
          <w:rFonts w:ascii="Arial" w:hAnsi="Arial"/>
          <w:sz w:val="22"/>
        </w:rPr>
      </w:pPr>
    </w:p>
    <w:p w:rsidR="008209D1" w:rsidRPr="008209D1" w:rsidRDefault="008209D1" w:rsidP="008209D1">
      <w:pPr>
        <w:ind w:firstLine="709"/>
        <w:jc w:val="both"/>
        <w:rPr>
          <w:rFonts w:ascii="Arial" w:hAnsi="Arial"/>
          <w:sz w:val="22"/>
        </w:rPr>
      </w:pPr>
      <w:r w:rsidRPr="008209D1">
        <w:rPr>
          <w:rFonts w:ascii="Arial" w:hAnsi="Arial"/>
          <w:sz w:val="22"/>
        </w:rPr>
        <w:t xml:space="preserve">Средняя (взвешенная по величине пенсионных накоплений) доходность инвестирования пенсионных накоплений </w:t>
      </w:r>
      <w:r>
        <w:rPr>
          <w:rFonts w:ascii="Arial" w:hAnsi="Arial"/>
          <w:sz w:val="22"/>
        </w:rPr>
        <w:t xml:space="preserve">по итогам 2012 года </w:t>
      </w:r>
      <w:r w:rsidRPr="008209D1">
        <w:rPr>
          <w:rFonts w:ascii="Arial" w:hAnsi="Arial"/>
          <w:sz w:val="22"/>
        </w:rPr>
        <w:t>составила 7,59%, что почти на один процентный пункт превышает уровень инфляции в 2012 году (6,6%). При этом доходность государственной управляющей компании по расширенному портфелю составила 9,21%</w:t>
      </w:r>
    </w:p>
    <w:p w:rsidR="008209D1" w:rsidRPr="008209D1" w:rsidRDefault="008209D1" w:rsidP="008209D1">
      <w:pPr>
        <w:ind w:firstLine="709"/>
        <w:jc w:val="both"/>
        <w:rPr>
          <w:rFonts w:ascii="Arial" w:hAnsi="Arial"/>
          <w:sz w:val="22"/>
        </w:rPr>
      </w:pPr>
      <w:r w:rsidRPr="008209D1">
        <w:rPr>
          <w:rFonts w:ascii="Arial" w:hAnsi="Arial"/>
          <w:sz w:val="22"/>
        </w:rPr>
        <w:t xml:space="preserve">Данные по доходности размещения пенсионных накоплений опубликовали 26 фонда, сумма пенсионных накоплений  которых составляет 67,7% общей суммы </w:t>
      </w:r>
      <w:r w:rsidRPr="008209D1">
        <w:rPr>
          <w:rFonts w:ascii="Arial" w:hAnsi="Arial"/>
          <w:sz w:val="22"/>
        </w:rPr>
        <w:lastRenderedPageBreak/>
        <w:t>пенсионных накоплений застрахованных лиц, формирующих накопительную часть пенсии в НПФ.</w:t>
      </w:r>
    </w:p>
    <w:p w:rsidR="008209D1" w:rsidRDefault="008209D1" w:rsidP="008209D1">
      <w:pPr>
        <w:ind w:firstLine="709"/>
        <w:jc w:val="both"/>
        <w:rPr>
          <w:rFonts w:ascii="Arial" w:hAnsi="Arial"/>
          <w:sz w:val="22"/>
        </w:rPr>
      </w:pPr>
      <w:r w:rsidRPr="008209D1">
        <w:rPr>
          <w:rFonts w:ascii="Arial" w:hAnsi="Arial"/>
          <w:sz w:val="22"/>
        </w:rPr>
        <w:t>Максимальное значение начисленной на счета доходности составило 12,7% (НПФ «Согласие»), наименьшее  6,1% (НПФ «Социальное развитие»). Доходность ниже уровня инфляции показал один фонд</w:t>
      </w:r>
    </w:p>
    <w:p w:rsidR="008209D1" w:rsidRPr="009E277D" w:rsidRDefault="008209D1" w:rsidP="009E277D">
      <w:pPr>
        <w:ind w:firstLine="709"/>
        <w:jc w:val="both"/>
        <w:rPr>
          <w:rFonts w:ascii="Arial" w:hAnsi="Arial"/>
          <w:sz w:val="22"/>
        </w:rPr>
      </w:pPr>
    </w:p>
    <w:p w:rsidR="009E277D" w:rsidRDefault="009E277D" w:rsidP="009E277D">
      <w:pPr>
        <w:ind w:firstLine="709"/>
        <w:jc w:val="both"/>
        <w:rPr>
          <w:rFonts w:ascii="Arial" w:hAnsi="Arial"/>
          <w:sz w:val="22"/>
        </w:rPr>
      </w:pPr>
      <w:r w:rsidRPr="009E277D">
        <w:rPr>
          <w:rFonts w:ascii="Arial" w:hAnsi="Arial"/>
          <w:sz w:val="22"/>
        </w:rPr>
        <w:t>Средний счет застрахованного лица, осуществляющего формирование накопительной пенсии в НПФ на 1.01.2013 г. составил 40355 рублей и увеличился за год на 21,7% . Размер среднего счета по отдельным фондам изменялся в диапазоне от 17687 руб. (НПФ «Согласие») до 144105 (НПФ «Сургутнефтегаз»). Для сравнения, размер среднего счета застрахованных лиц, осуществляющих формирование НЧТП в государственной управляющей компании почти вдвое меньше среднего счета в НПФ и равен 24070 рублей.</w:t>
      </w:r>
    </w:p>
    <w:p w:rsidR="009E277D" w:rsidRDefault="009E277D" w:rsidP="009A29E9">
      <w:pPr>
        <w:ind w:firstLine="709"/>
        <w:jc w:val="both"/>
        <w:rPr>
          <w:rFonts w:ascii="Arial" w:hAnsi="Arial"/>
          <w:sz w:val="22"/>
        </w:rPr>
      </w:pPr>
    </w:p>
    <w:p w:rsidR="00EB0D06" w:rsidRDefault="00A202CB" w:rsidP="00A202CB">
      <w:pPr>
        <w:ind w:firstLine="709"/>
        <w:jc w:val="both"/>
        <w:rPr>
          <w:rFonts w:ascii="Arial" w:hAnsi="Arial"/>
          <w:sz w:val="22"/>
        </w:rPr>
      </w:pPr>
      <w:r w:rsidRPr="00A202CB">
        <w:rPr>
          <w:rFonts w:ascii="Arial" w:hAnsi="Arial"/>
          <w:sz w:val="22"/>
        </w:rPr>
        <w:t>1 июля 2012 года вступил в силу Федеральный закон от 30 ноября 2011 года №</w:t>
      </w:r>
      <w:r w:rsidR="00EB0D06">
        <w:rPr>
          <w:rFonts w:ascii="Arial" w:hAnsi="Arial"/>
          <w:sz w:val="22"/>
        </w:rPr>
        <w:t> </w:t>
      </w:r>
      <w:r w:rsidRPr="00A202CB">
        <w:rPr>
          <w:rFonts w:ascii="Arial" w:hAnsi="Arial"/>
          <w:sz w:val="22"/>
        </w:rPr>
        <w:t xml:space="preserve">360-ФЗ «О порядке финансирования выплат за счет средств пенсионных накоплений». В соответствии с ним </w:t>
      </w:r>
      <w:r>
        <w:rPr>
          <w:rFonts w:ascii="Arial" w:hAnsi="Arial"/>
          <w:sz w:val="22"/>
        </w:rPr>
        <w:t>негосударственные пенсионные фонды</w:t>
      </w:r>
      <w:r w:rsidRPr="00A202CB">
        <w:rPr>
          <w:rFonts w:ascii="Arial" w:hAnsi="Arial"/>
          <w:sz w:val="22"/>
        </w:rPr>
        <w:t xml:space="preserve"> осуществля</w:t>
      </w:r>
      <w:r>
        <w:rPr>
          <w:rFonts w:ascii="Arial" w:hAnsi="Arial"/>
          <w:sz w:val="22"/>
        </w:rPr>
        <w:t>ю</w:t>
      </w:r>
      <w:r w:rsidRPr="00A202CB">
        <w:rPr>
          <w:rFonts w:ascii="Arial" w:hAnsi="Arial"/>
          <w:sz w:val="22"/>
        </w:rPr>
        <w:t>т</w:t>
      </w:r>
      <w:r>
        <w:rPr>
          <w:rFonts w:ascii="Arial" w:hAnsi="Arial"/>
          <w:sz w:val="22"/>
        </w:rPr>
        <w:t>,</w:t>
      </w:r>
      <w:r w:rsidRPr="00A202CB">
        <w:rPr>
          <w:rFonts w:ascii="Arial" w:hAnsi="Arial"/>
          <w:sz w:val="22"/>
        </w:rPr>
        <w:t xml:space="preserve"> при наличии необходимых оснований</w:t>
      </w:r>
      <w:r>
        <w:rPr>
          <w:rFonts w:ascii="Arial" w:hAnsi="Arial"/>
          <w:sz w:val="22"/>
        </w:rPr>
        <w:t>,</w:t>
      </w:r>
      <w:r w:rsidRPr="00A202CB">
        <w:rPr>
          <w:rFonts w:ascii="Arial" w:hAnsi="Arial"/>
          <w:sz w:val="22"/>
        </w:rPr>
        <w:t xml:space="preserve"> выплату средств пенсионных накоплений гражданам, у которых формируется накопительная часть </w:t>
      </w:r>
      <w:r w:rsidR="00EB0D06">
        <w:rPr>
          <w:rFonts w:ascii="Arial" w:hAnsi="Arial"/>
          <w:sz w:val="22"/>
        </w:rPr>
        <w:t xml:space="preserve">трудовой </w:t>
      </w:r>
      <w:r w:rsidRPr="00A202CB">
        <w:rPr>
          <w:rFonts w:ascii="Arial" w:hAnsi="Arial"/>
          <w:sz w:val="22"/>
        </w:rPr>
        <w:t>пенсии</w:t>
      </w:r>
      <w:r>
        <w:rPr>
          <w:rFonts w:ascii="Arial" w:hAnsi="Arial"/>
          <w:sz w:val="22"/>
        </w:rPr>
        <w:t xml:space="preserve">. </w:t>
      </w:r>
    </w:p>
    <w:p w:rsidR="00A202CB" w:rsidRPr="00A202CB" w:rsidRDefault="00A202CB" w:rsidP="00A202CB">
      <w:pPr>
        <w:ind w:firstLine="709"/>
        <w:jc w:val="both"/>
        <w:rPr>
          <w:rFonts w:ascii="Arial" w:hAnsi="Arial"/>
          <w:sz w:val="22"/>
        </w:rPr>
      </w:pPr>
      <w:r>
        <w:rPr>
          <w:rFonts w:ascii="Arial" w:hAnsi="Arial"/>
          <w:sz w:val="22"/>
        </w:rPr>
        <w:t>Выплаты осуществляются</w:t>
      </w:r>
      <w:r w:rsidRPr="00A202CB">
        <w:rPr>
          <w:rFonts w:ascii="Arial" w:hAnsi="Arial"/>
          <w:sz w:val="22"/>
        </w:rPr>
        <w:t xml:space="preserve"> в виде: </w:t>
      </w:r>
    </w:p>
    <w:p w:rsidR="00A202CB" w:rsidRPr="00EB0D06" w:rsidRDefault="00A202CB" w:rsidP="00EB0D06">
      <w:pPr>
        <w:pStyle w:val="a7"/>
        <w:numPr>
          <w:ilvl w:val="0"/>
          <w:numId w:val="3"/>
        </w:numPr>
        <w:jc w:val="both"/>
        <w:rPr>
          <w:rFonts w:ascii="Arial" w:hAnsi="Arial"/>
          <w:sz w:val="22"/>
        </w:rPr>
      </w:pPr>
      <w:r w:rsidRPr="00EB0D06">
        <w:rPr>
          <w:rFonts w:ascii="Arial" w:hAnsi="Arial"/>
          <w:sz w:val="22"/>
        </w:rPr>
        <w:t>накопительной части трудовой пенсии по старости (размер выплат рассчитывается в соответствии с ожидаемым периодом выплаты пенсии);</w:t>
      </w:r>
    </w:p>
    <w:p w:rsidR="00A202CB" w:rsidRPr="00EB0D06" w:rsidRDefault="00A202CB" w:rsidP="00EB0D06">
      <w:pPr>
        <w:pStyle w:val="a7"/>
        <w:numPr>
          <w:ilvl w:val="0"/>
          <w:numId w:val="3"/>
        </w:numPr>
        <w:jc w:val="both"/>
        <w:rPr>
          <w:rFonts w:ascii="Arial" w:hAnsi="Arial"/>
          <w:sz w:val="22"/>
        </w:rPr>
      </w:pPr>
      <w:r w:rsidRPr="00EB0D06">
        <w:rPr>
          <w:rFonts w:ascii="Arial" w:hAnsi="Arial"/>
          <w:sz w:val="22"/>
        </w:rPr>
        <w:t>срочной пенсионной выплаты (обеспечивается исключительно за счет средств пенсионных накоплений, сформированных в рамках программы государственного софинансирования и материнского (семейного) капитала</w:t>
      </w:r>
      <w:r w:rsidR="00EB0D06">
        <w:rPr>
          <w:rFonts w:ascii="Arial" w:hAnsi="Arial"/>
          <w:sz w:val="22"/>
        </w:rPr>
        <w:t>)</w:t>
      </w:r>
      <w:r w:rsidRPr="00EB0D06">
        <w:rPr>
          <w:rFonts w:ascii="Arial" w:hAnsi="Arial"/>
          <w:sz w:val="22"/>
        </w:rPr>
        <w:t xml:space="preserve">; </w:t>
      </w:r>
    </w:p>
    <w:p w:rsidR="00A202CB" w:rsidRPr="00EB0D06" w:rsidRDefault="00A202CB" w:rsidP="00EB0D06">
      <w:pPr>
        <w:pStyle w:val="a7"/>
        <w:numPr>
          <w:ilvl w:val="0"/>
          <w:numId w:val="3"/>
        </w:numPr>
        <w:jc w:val="both"/>
        <w:rPr>
          <w:rFonts w:ascii="Arial" w:hAnsi="Arial"/>
          <w:sz w:val="22"/>
        </w:rPr>
      </w:pPr>
      <w:r w:rsidRPr="00EB0D06">
        <w:rPr>
          <w:rFonts w:ascii="Arial" w:hAnsi="Arial"/>
          <w:sz w:val="22"/>
        </w:rPr>
        <w:t xml:space="preserve">единовременной выплаты, которая назначается тем, у кого расчетный размер накопительной части </w:t>
      </w:r>
      <w:r w:rsidR="00EB0D06">
        <w:rPr>
          <w:rFonts w:ascii="Arial" w:hAnsi="Arial"/>
          <w:sz w:val="22"/>
        </w:rPr>
        <w:t xml:space="preserve">трудовой </w:t>
      </w:r>
      <w:r w:rsidRPr="00EB0D06">
        <w:rPr>
          <w:rFonts w:ascii="Arial" w:hAnsi="Arial"/>
          <w:sz w:val="22"/>
        </w:rPr>
        <w:t>пенсии составляет 5% и менее размера трудовой пенсии по старости. В этом случае все средства пенсионных накоплений выплачиваются человеку одной выплатой</w:t>
      </w:r>
      <w:r w:rsidR="00EB0D06">
        <w:rPr>
          <w:rFonts w:ascii="Arial" w:hAnsi="Arial"/>
          <w:sz w:val="22"/>
        </w:rPr>
        <w:t>.</w:t>
      </w:r>
    </w:p>
    <w:p w:rsidR="00A202CB" w:rsidRDefault="00A202CB" w:rsidP="00A202CB">
      <w:pPr>
        <w:ind w:firstLine="709"/>
        <w:jc w:val="both"/>
        <w:rPr>
          <w:rFonts w:ascii="Arial" w:hAnsi="Arial"/>
          <w:sz w:val="22"/>
        </w:rPr>
      </w:pPr>
      <w:r w:rsidRPr="00A202CB">
        <w:rPr>
          <w:rFonts w:ascii="Arial" w:hAnsi="Arial"/>
          <w:sz w:val="22"/>
        </w:rPr>
        <w:t>В 2012 году большинство назначенных выплат средств пенсионных накоплений было реализовано в виде единовременной выплаты. Это связано с выходом на пенсию (в том числе досрочно) мужчин 1953–1966 годов рождения и женщин 1957–1966 годов рождения,</w:t>
      </w:r>
      <w:r>
        <w:rPr>
          <w:rFonts w:ascii="Arial" w:hAnsi="Arial"/>
          <w:sz w:val="22"/>
        </w:rPr>
        <w:t xml:space="preserve"> формирование накопительной части трудовой пенсии которых осуществлялось только в период 2002 – 2002 годов по тарифу 2%.</w:t>
      </w:r>
    </w:p>
    <w:p w:rsidR="00C2416E" w:rsidRDefault="00C2416E" w:rsidP="00A202CB">
      <w:pPr>
        <w:ind w:firstLine="709"/>
        <w:jc w:val="both"/>
        <w:rPr>
          <w:rFonts w:ascii="Arial" w:hAnsi="Arial"/>
          <w:sz w:val="22"/>
        </w:rPr>
      </w:pPr>
      <w:r>
        <w:rPr>
          <w:rFonts w:ascii="Arial" w:hAnsi="Arial"/>
          <w:sz w:val="22"/>
        </w:rPr>
        <w:t>Пенсионным фондом России в</w:t>
      </w:r>
      <w:r w:rsidRPr="00C2416E">
        <w:rPr>
          <w:rFonts w:ascii="Arial" w:hAnsi="Arial"/>
          <w:sz w:val="22"/>
        </w:rPr>
        <w:t xml:space="preserve"> течение второго полугодия 2012 года</w:t>
      </w:r>
      <w:r>
        <w:rPr>
          <w:rFonts w:ascii="Arial" w:hAnsi="Arial"/>
          <w:sz w:val="22"/>
        </w:rPr>
        <w:t xml:space="preserve"> осуществлены выплаты </w:t>
      </w:r>
      <w:r w:rsidRPr="00C2416E">
        <w:rPr>
          <w:rFonts w:ascii="Arial" w:hAnsi="Arial"/>
          <w:sz w:val="22"/>
        </w:rPr>
        <w:t>1</w:t>
      </w:r>
      <w:r>
        <w:rPr>
          <w:rFonts w:ascii="Arial" w:hAnsi="Arial"/>
          <w:sz w:val="22"/>
        </w:rPr>
        <w:t> </w:t>
      </w:r>
      <w:r w:rsidRPr="00C2416E">
        <w:rPr>
          <w:rFonts w:ascii="Arial" w:hAnsi="Arial"/>
          <w:sz w:val="22"/>
        </w:rPr>
        <w:t>593</w:t>
      </w:r>
      <w:r>
        <w:rPr>
          <w:rFonts w:ascii="Arial" w:hAnsi="Arial"/>
          <w:sz w:val="22"/>
        </w:rPr>
        <w:t>,</w:t>
      </w:r>
      <w:r w:rsidRPr="00C2416E">
        <w:rPr>
          <w:rFonts w:ascii="Arial" w:hAnsi="Arial"/>
          <w:sz w:val="22"/>
        </w:rPr>
        <w:t>8</w:t>
      </w:r>
      <w:r>
        <w:rPr>
          <w:rFonts w:ascii="Arial" w:hAnsi="Arial"/>
          <w:sz w:val="22"/>
        </w:rPr>
        <w:t xml:space="preserve"> тыс.</w:t>
      </w:r>
      <w:r w:rsidR="00974A26">
        <w:rPr>
          <w:rFonts w:ascii="Arial" w:hAnsi="Arial"/>
          <w:sz w:val="22"/>
        </w:rPr>
        <w:t xml:space="preserve"> застрахованных лиц, 99,7% которых осуществлены в форме единовременных выплат. Средний размер единовременной выплаты составил 7397 рублей. </w:t>
      </w:r>
    </w:p>
    <w:p w:rsidR="00A202CB" w:rsidRDefault="00974A26" w:rsidP="00A202CB">
      <w:pPr>
        <w:ind w:firstLine="709"/>
        <w:jc w:val="both"/>
        <w:rPr>
          <w:rFonts w:ascii="Arial" w:hAnsi="Arial"/>
          <w:sz w:val="22"/>
        </w:rPr>
      </w:pPr>
      <w:r>
        <w:rPr>
          <w:rFonts w:ascii="Arial" w:hAnsi="Arial"/>
          <w:sz w:val="22"/>
        </w:rPr>
        <w:t>Негосударственные пенсионные фонды в</w:t>
      </w:r>
      <w:r w:rsidR="00A202CB">
        <w:rPr>
          <w:rFonts w:ascii="Arial" w:hAnsi="Arial"/>
          <w:sz w:val="22"/>
        </w:rPr>
        <w:t xml:space="preserve"> течение второго полугодия 2012 года </w:t>
      </w:r>
      <w:r w:rsidR="00E0212F" w:rsidRPr="00E0212F">
        <w:rPr>
          <w:rFonts w:ascii="Arial" w:hAnsi="Arial"/>
          <w:sz w:val="22"/>
        </w:rPr>
        <w:t>осуществ</w:t>
      </w:r>
      <w:r w:rsidR="00E0212F">
        <w:rPr>
          <w:rFonts w:ascii="Arial" w:hAnsi="Arial"/>
          <w:sz w:val="22"/>
        </w:rPr>
        <w:t>или</w:t>
      </w:r>
      <w:r w:rsidR="00E0212F" w:rsidRPr="00E0212F">
        <w:rPr>
          <w:rFonts w:ascii="Arial" w:hAnsi="Arial"/>
          <w:sz w:val="22"/>
        </w:rPr>
        <w:t xml:space="preserve"> выплаты </w:t>
      </w:r>
      <w:r w:rsidR="00A202CB">
        <w:rPr>
          <w:rFonts w:ascii="Arial" w:hAnsi="Arial"/>
          <w:sz w:val="22"/>
        </w:rPr>
        <w:t>125,2 тысячам человек на общую сумму 2639,8 млн. рублей</w:t>
      </w:r>
      <w:r w:rsidR="00EB0D06">
        <w:rPr>
          <w:rFonts w:ascii="Arial" w:hAnsi="Arial"/>
          <w:sz w:val="22"/>
        </w:rPr>
        <w:t>,</w:t>
      </w:r>
      <w:r w:rsidR="00C11144">
        <w:rPr>
          <w:rFonts w:ascii="Arial" w:hAnsi="Arial"/>
          <w:sz w:val="22"/>
        </w:rPr>
        <w:t xml:space="preserve"> 97,5% всех выплат осуществлены в виде единовременной выплаты.</w:t>
      </w:r>
    </w:p>
    <w:p w:rsidR="00E0212F" w:rsidRDefault="00E0212F" w:rsidP="00A202CB">
      <w:pPr>
        <w:ind w:firstLine="709"/>
        <w:jc w:val="both"/>
        <w:rPr>
          <w:rFonts w:ascii="Arial" w:hAnsi="Arial"/>
          <w:sz w:val="22"/>
        </w:rPr>
      </w:pPr>
      <w:r>
        <w:rPr>
          <w:rFonts w:ascii="Arial" w:hAnsi="Arial"/>
          <w:sz w:val="22"/>
        </w:rPr>
        <w:t xml:space="preserve">Средний размер выплат </w:t>
      </w:r>
      <w:r w:rsidR="00EB0D06">
        <w:rPr>
          <w:rFonts w:ascii="Arial" w:hAnsi="Arial"/>
          <w:sz w:val="22"/>
        </w:rPr>
        <w:t xml:space="preserve">из НПФ </w:t>
      </w:r>
      <w:r w:rsidR="00C11144">
        <w:rPr>
          <w:rFonts w:ascii="Arial" w:hAnsi="Arial"/>
          <w:sz w:val="22"/>
        </w:rPr>
        <w:t>составил:</w:t>
      </w:r>
    </w:p>
    <w:p w:rsidR="00C11144" w:rsidRDefault="00C11144" w:rsidP="00A202CB">
      <w:pPr>
        <w:ind w:firstLine="709"/>
        <w:jc w:val="both"/>
        <w:rPr>
          <w:rFonts w:ascii="Arial" w:hAnsi="Arial"/>
          <w:sz w:val="22"/>
        </w:rPr>
      </w:pPr>
      <w:r>
        <w:rPr>
          <w:rFonts w:ascii="Arial" w:hAnsi="Arial"/>
          <w:sz w:val="22"/>
        </w:rPr>
        <w:t>Накопительной части трудовой пенсии</w:t>
      </w:r>
      <w:r>
        <w:rPr>
          <w:rFonts w:ascii="Arial" w:hAnsi="Arial"/>
          <w:sz w:val="22"/>
        </w:rPr>
        <w:tab/>
      </w:r>
      <w:r>
        <w:rPr>
          <w:rFonts w:ascii="Arial" w:hAnsi="Arial"/>
          <w:sz w:val="22"/>
        </w:rPr>
        <w:tab/>
      </w:r>
      <w:r>
        <w:rPr>
          <w:rFonts w:ascii="Arial" w:hAnsi="Arial"/>
          <w:sz w:val="22"/>
        </w:rPr>
        <w:tab/>
        <w:t>575 руб.</w:t>
      </w:r>
    </w:p>
    <w:p w:rsidR="00C11144" w:rsidRDefault="00C11144" w:rsidP="00A202CB">
      <w:pPr>
        <w:ind w:firstLine="709"/>
        <w:jc w:val="both"/>
        <w:rPr>
          <w:rFonts w:ascii="Arial" w:hAnsi="Arial"/>
          <w:sz w:val="22"/>
        </w:rPr>
      </w:pPr>
      <w:r>
        <w:rPr>
          <w:rFonts w:ascii="Arial" w:hAnsi="Arial"/>
          <w:sz w:val="22"/>
        </w:rPr>
        <w:t>Срочной пенсионной выплаты</w:t>
      </w:r>
      <w:r>
        <w:rPr>
          <w:rFonts w:ascii="Arial" w:hAnsi="Arial"/>
          <w:sz w:val="22"/>
        </w:rPr>
        <w:tab/>
      </w:r>
      <w:r>
        <w:rPr>
          <w:rFonts w:ascii="Arial" w:hAnsi="Arial"/>
          <w:sz w:val="22"/>
        </w:rPr>
        <w:tab/>
      </w:r>
      <w:r>
        <w:rPr>
          <w:rFonts w:ascii="Arial" w:hAnsi="Arial"/>
          <w:sz w:val="22"/>
        </w:rPr>
        <w:tab/>
      </w:r>
      <w:r>
        <w:rPr>
          <w:rFonts w:ascii="Arial" w:hAnsi="Arial"/>
          <w:sz w:val="22"/>
        </w:rPr>
        <w:tab/>
        <w:t>711 руб.</w:t>
      </w:r>
    </w:p>
    <w:p w:rsidR="00C11144" w:rsidRDefault="00C11144" w:rsidP="00A202CB">
      <w:pPr>
        <w:ind w:firstLine="709"/>
        <w:jc w:val="both"/>
        <w:rPr>
          <w:rFonts w:ascii="Arial" w:hAnsi="Arial"/>
          <w:sz w:val="22"/>
        </w:rPr>
      </w:pPr>
      <w:r>
        <w:rPr>
          <w:rFonts w:ascii="Arial" w:hAnsi="Arial"/>
          <w:sz w:val="22"/>
        </w:rPr>
        <w:t>Единовременной выплаты</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15273 руб.</w:t>
      </w:r>
    </w:p>
    <w:p w:rsidR="00280D09" w:rsidRDefault="00280D09" w:rsidP="009A29E9">
      <w:pPr>
        <w:ind w:firstLine="709"/>
        <w:jc w:val="both"/>
        <w:rPr>
          <w:rFonts w:ascii="Arial" w:hAnsi="Arial"/>
          <w:sz w:val="22"/>
        </w:rPr>
      </w:pPr>
    </w:p>
    <w:p w:rsidR="00C11144" w:rsidRDefault="00C11144" w:rsidP="00770C26">
      <w:pPr>
        <w:ind w:firstLine="709"/>
        <w:jc w:val="both"/>
        <w:rPr>
          <w:rFonts w:ascii="Arial" w:hAnsi="Arial"/>
          <w:sz w:val="22"/>
        </w:rPr>
      </w:pPr>
      <w:r>
        <w:rPr>
          <w:rFonts w:ascii="Arial" w:hAnsi="Arial"/>
          <w:sz w:val="22"/>
        </w:rPr>
        <w:t>Переходная кампания 2012 года поставила ряд вопросов реализации прав застрахованных лиц по выбору способа формирования накопительной части трудовой пенсии. Эти вопросы усугубляются тем обстоятельством, что по итогам кампании 2013 года может быть окончательно решен вопрос о распределении застрахованных лиц по тарифу начисления страховых взносов на накопительную часть: 6% или 2%.</w:t>
      </w:r>
    </w:p>
    <w:p w:rsidR="00770C26" w:rsidRDefault="00770C26" w:rsidP="00770C26">
      <w:pPr>
        <w:ind w:firstLine="709"/>
        <w:jc w:val="both"/>
        <w:rPr>
          <w:rFonts w:ascii="Arial" w:hAnsi="Arial"/>
          <w:sz w:val="22"/>
        </w:rPr>
      </w:pPr>
      <w:r w:rsidRPr="00770C26">
        <w:rPr>
          <w:rFonts w:ascii="Arial" w:hAnsi="Arial"/>
          <w:sz w:val="22"/>
        </w:rPr>
        <w:t>Лидерами переходной кампании 201</w:t>
      </w:r>
      <w:r w:rsidR="00233993">
        <w:rPr>
          <w:rFonts w:ascii="Arial" w:hAnsi="Arial"/>
          <w:sz w:val="22"/>
        </w:rPr>
        <w:t>2</w:t>
      </w:r>
      <w:r w:rsidRPr="00770C26">
        <w:rPr>
          <w:rFonts w:ascii="Arial" w:hAnsi="Arial"/>
          <w:sz w:val="22"/>
        </w:rPr>
        <w:t xml:space="preserve"> года по переводу пенсионных накоплений застрахованных лиц из ПФР в НПФ (количество заявлениям, по которым были приняты положительные решения) стали</w:t>
      </w:r>
      <w:r w:rsidR="003D1743">
        <w:rPr>
          <w:rFonts w:ascii="Arial" w:hAnsi="Arial"/>
          <w:sz w:val="22"/>
        </w:rPr>
        <w:t xml:space="preserve"> (Таблица </w:t>
      </w:r>
      <w:r w:rsidR="00EB0D06">
        <w:rPr>
          <w:rFonts w:ascii="Arial" w:hAnsi="Arial"/>
          <w:sz w:val="22"/>
        </w:rPr>
        <w:t>4</w:t>
      </w:r>
      <w:r w:rsidR="003D1743">
        <w:rPr>
          <w:rFonts w:ascii="Arial" w:hAnsi="Arial"/>
          <w:sz w:val="22"/>
        </w:rPr>
        <w:t>)</w:t>
      </w:r>
      <w:r w:rsidRPr="00770C26">
        <w:rPr>
          <w:rFonts w:ascii="Arial" w:hAnsi="Arial"/>
          <w:sz w:val="22"/>
        </w:rPr>
        <w:t xml:space="preserve">: </w:t>
      </w:r>
    </w:p>
    <w:p w:rsidR="00D967C4" w:rsidRDefault="00D967C4" w:rsidP="00770C26">
      <w:pPr>
        <w:ind w:firstLine="709"/>
        <w:jc w:val="both"/>
        <w:rPr>
          <w:rFonts w:ascii="Arial" w:hAnsi="Arial"/>
          <w:sz w:val="22"/>
        </w:rPr>
      </w:pPr>
    </w:p>
    <w:p w:rsidR="003D1743" w:rsidRDefault="003D1743" w:rsidP="003D1743">
      <w:pPr>
        <w:ind w:firstLine="709"/>
        <w:jc w:val="right"/>
        <w:rPr>
          <w:rFonts w:ascii="Arial" w:hAnsi="Arial"/>
          <w:sz w:val="22"/>
        </w:rPr>
      </w:pPr>
      <w:r>
        <w:rPr>
          <w:rFonts w:ascii="Arial" w:hAnsi="Arial"/>
          <w:sz w:val="22"/>
        </w:rPr>
        <w:t xml:space="preserve">Таблица </w:t>
      </w:r>
      <w:r w:rsidR="00EB0D06">
        <w:rPr>
          <w:rFonts w:ascii="Arial" w:hAnsi="Arial"/>
          <w:sz w:val="22"/>
        </w:rPr>
        <w:t>4</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1559"/>
        <w:gridCol w:w="1560"/>
        <w:gridCol w:w="1559"/>
      </w:tblGrid>
      <w:tr w:rsidR="00D967C4" w:rsidRPr="00D967C4" w:rsidTr="00D967C4">
        <w:trPr>
          <w:trHeight w:val="915"/>
        </w:trPr>
        <w:tc>
          <w:tcPr>
            <w:tcW w:w="4693" w:type="dxa"/>
            <w:shd w:val="clear" w:color="auto" w:fill="auto"/>
            <w:noWrap/>
            <w:vAlign w:val="bottom"/>
            <w:hideMark/>
          </w:tcPr>
          <w:p w:rsidR="00D967C4" w:rsidRPr="00D967C4" w:rsidRDefault="00D967C4" w:rsidP="00D967C4">
            <w:pPr>
              <w:rPr>
                <w:rFonts w:ascii="Arial" w:hAnsi="Arial" w:cs="Arial"/>
                <w:sz w:val="22"/>
                <w:szCs w:val="22"/>
              </w:rPr>
            </w:pPr>
          </w:p>
        </w:tc>
        <w:tc>
          <w:tcPr>
            <w:tcW w:w="1559" w:type="dxa"/>
            <w:shd w:val="clear" w:color="auto" w:fill="auto"/>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Число пришедших</w:t>
            </w:r>
          </w:p>
        </w:tc>
        <w:tc>
          <w:tcPr>
            <w:tcW w:w="1560" w:type="dxa"/>
            <w:shd w:val="clear" w:color="auto" w:fill="auto"/>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Число ушедших</w:t>
            </w:r>
          </w:p>
        </w:tc>
        <w:tc>
          <w:tcPr>
            <w:tcW w:w="1559" w:type="dxa"/>
            <w:shd w:val="clear" w:color="auto" w:fill="auto"/>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Баланс</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Росгосстраха</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678698</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57802</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620896</w:t>
            </w:r>
          </w:p>
        </w:tc>
      </w:tr>
      <w:tr w:rsidR="00D967C4" w:rsidRPr="00D967C4" w:rsidTr="00D967C4">
        <w:trPr>
          <w:trHeight w:val="300"/>
        </w:trPr>
        <w:tc>
          <w:tcPr>
            <w:tcW w:w="4693" w:type="dxa"/>
            <w:shd w:val="clear" w:color="auto" w:fill="auto"/>
            <w:noWrap/>
            <w:vAlign w:val="bottom"/>
            <w:hideMark/>
          </w:tcPr>
          <w:p w:rsidR="00D967C4" w:rsidRPr="00D967C4" w:rsidRDefault="00E551EB" w:rsidP="008F664C">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КИТ Ф</w:t>
            </w:r>
            <w:r w:rsidR="008F664C">
              <w:rPr>
                <w:rFonts w:ascii="Arial" w:hAnsi="Arial" w:cs="Arial"/>
                <w:sz w:val="22"/>
                <w:szCs w:val="22"/>
              </w:rPr>
              <w:t>инанс</w:t>
            </w:r>
            <w:r>
              <w:rPr>
                <w:rFonts w:ascii="Arial" w:hAnsi="Arial" w:cs="Arial"/>
                <w:sz w:val="22"/>
                <w:szCs w:val="22"/>
              </w:rPr>
              <w:t>»</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752435</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136288</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616147</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 xml:space="preserve">НПФ </w:t>
            </w:r>
            <w:r w:rsidR="00D967C4" w:rsidRPr="00D967C4">
              <w:rPr>
                <w:rFonts w:ascii="Arial" w:hAnsi="Arial" w:cs="Arial"/>
                <w:sz w:val="22"/>
                <w:szCs w:val="22"/>
              </w:rPr>
              <w:t>С</w:t>
            </w:r>
            <w:r>
              <w:rPr>
                <w:rFonts w:ascii="Arial" w:hAnsi="Arial" w:cs="Arial"/>
                <w:sz w:val="22"/>
                <w:szCs w:val="22"/>
              </w:rPr>
              <w:t>бербанка</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427837</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34055</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393782</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ЛУКОЙЛ-ГАРАНТ</w:t>
            </w:r>
            <w:r>
              <w:rPr>
                <w:rFonts w:ascii="Arial" w:hAnsi="Arial" w:cs="Arial"/>
                <w:sz w:val="22"/>
                <w:szCs w:val="22"/>
              </w:rPr>
              <w:t>»</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493760</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131844</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361916</w:t>
            </w:r>
          </w:p>
        </w:tc>
      </w:tr>
      <w:tr w:rsidR="00D967C4" w:rsidRPr="00D967C4" w:rsidTr="00D967C4">
        <w:trPr>
          <w:trHeight w:val="300"/>
        </w:trPr>
        <w:tc>
          <w:tcPr>
            <w:tcW w:w="4693" w:type="dxa"/>
            <w:shd w:val="clear" w:color="auto" w:fill="auto"/>
            <w:noWrap/>
            <w:vAlign w:val="bottom"/>
            <w:hideMark/>
          </w:tcPr>
          <w:p w:rsidR="00D967C4" w:rsidRPr="00D967C4" w:rsidRDefault="00E551EB" w:rsidP="001445CA">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Д</w:t>
            </w:r>
            <w:r w:rsidR="001445CA">
              <w:rPr>
                <w:rFonts w:ascii="Arial" w:hAnsi="Arial" w:cs="Arial"/>
                <w:sz w:val="22"/>
                <w:szCs w:val="22"/>
              </w:rPr>
              <w:t>оверие</w:t>
            </w:r>
            <w:r>
              <w:rPr>
                <w:rFonts w:ascii="Arial" w:hAnsi="Arial" w:cs="Arial"/>
                <w:sz w:val="22"/>
                <w:szCs w:val="22"/>
              </w:rPr>
              <w:t>»</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328065</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4849</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323216</w:t>
            </w:r>
          </w:p>
        </w:tc>
      </w:tr>
      <w:tr w:rsidR="00D967C4" w:rsidRPr="00D967C4" w:rsidTr="00D967C4">
        <w:trPr>
          <w:trHeight w:val="300"/>
        </w:trPr>
        <w:tc>
          <w:tcPr>
            <w:tcW w:w="4693" w:type="dxa"/>
            <w:shd w:val="clear" w:color="auto" w:fill="auto"/>
            <w:noWrap/>
            <w:vAlign w:val="bottom"/>
            <w:hideMark/>
          </w:tcPr>
          <w:p w:rsidR="00D967C4" w:rsidRPr="00D967C4" w:rsidRDefault="00D967C4" w:rsidP="00D967C4">
            <w:pPr>
              <w:rPr>
                <w:rFonts w:ascii="Arial" w:hAnsi="Arial" w:cs="Arial"/>
                <w:sz w:val="22"/>
                <w:szCs w:val="22"/>
              </w:rPr>
            </w:pPr>
            <w:r w:rsidRPr="00D967C4">
              <w:rPr>
                <w:rFonts w:ascii="Arial" w:hAnsi="Arial" w:cs="Arial"/>
                <w:sz w:val="22"/>
                <w:szCs w:val="22"/>
              </w:rPr>
              <w:t>НПФ</w:t>
            </w:r>
            <w:r w:rsidR="00E551EB">
              <w:rPr>
                <w:rFonts w:ascii="Arial" w:hAnsi="Arial" w:cs="Arial"/>
                <w:sz w:val="22"/>
                <w:szCs w:val="22"/>
              </w:rPr>
              <w:t xml:space="preserve"> «</w:t>
            </w:r>
            <w:r w:rsidR="00E551EB" w:rsidRPr="00E551EB">
              <w:rPr>
                <w:rFonts w:ascii="Arial" w:hAnsi="Arial" w:cs="Arial"/>
                <w:sz w:val="22"/>
                <w:szCs w:val="22"/>
              </w:rPr>
              <w:t>ВТБ</w:t>
            </w:r>
            <w:r w:rsidR="00E551EB">
              <w:rPr>
                <w:rFonts w:ascii="Arial" w:hAnsi="Arial" w:cs="Arial"/>
                <w:sz w:val="22"/>
                <w:szCs w:val="22"/>
              </w:rPr>
              <w:t xml:space="preserve"> пенсионный фонд»</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359070</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40641</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318429</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РЕНЕССАНС Ж</w:t>
            </w:r>
            <w:r>
              <w:rPr>
                <w:rFonts w:ascii="Arial" w:hAnsi="Arial" w:cs="Arial"/>
                <w:sz w:val="22"/>
                <w:szCs w:val="22"/>
              </w:rPr>
              <w:t>изнь и Пенсии»</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333344</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72978</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260366</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С</w:t>
            </w:r>
            <w:r>
              <w:rPr>
                <w:rFonts w:ascii="Arial" w:hAnsi="Arial" w:cs="Arial"/>
                <w:sz w:val="22"/>
                <w:szCs w:val="22"/>
              </w:rPr>
              <w:t>таль – Фонд»</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355832</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118403</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237429</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П</w:t>
            </w:r>
            <w:r>
              <w:rPr>
                <w:rFonts w:ascii="Arial" w:hAnsi="Arial" w:cs="Arial"/>
                <w:sz w:val="22"/>
                <w:szCs w:val="22"/>
              </w:rPr>
              <w:t>ромагрофонд»</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371263</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150028</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221235</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электроэнергетики</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291233</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71156</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220077</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Е</w:t>
            </w:r>
            <w:r>
              <w:rPr>
                <w:rFonts w:ascii="Arial" w:hAnsi="Arial" w:cs="Arial"/>
                <w:sz w:val="22"/>
                <w:szCs w:val="22"/>
              </w:rPr>
              <w:t>вропейский ПФ»</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153147</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9231</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143916</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Б</w:t>
            </w:r>
            <w:r>
              <w:rPr>
                <w:rFonts w:ascii="Arial" w:hAnsi="Arial" w:cs="Arial"/>
                <w:sz w:val="22"/>
                <w:szCs w:val="22"/>
              </w:rPr>
              <w:t>лагосостояние»</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201406</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92252</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109154</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ГАЗФОНД</w:t>
            </w:r>
            <w:r>
              <w:rPr>
                <w:rFonts w:ascii="Arial" w:hAnsi="Arial" w:cs="Arial"/>
                <w:sz w:val="22"/>
                <w:szCs w:val="22"/>
              </w:rPr>
              <w:t>»</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134759</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36035</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98724</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СБЕРФОНД РЕСО</w:t>
            </w:r>
            <w:r>
              <w:rPr>
                <w:rFonts w:ascii="Arial" w:hAnsi="Arial" w:cs="Arial"/>
                <w:sz w:val="22"/>
                <w:szCs w:val="22"/>
              </w:rPr>
              <w:t>»</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98702</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12228</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86474</w:t>
            </w:r>
          </w:p>
        </w:tc>
      </w:tr>
      <w:tr w:rsidR="00D967C4" w:rsidRPr="00D967C4" w:rsidTr="00D967C4">
        <w:trPr>
          <w:trHeight w:val="300"/>
        </w:trPr>
        <w:tc>
          <w:tcPr>
            <w:tcW w:w="4693" w:type="dxa"/>
            <w:shd w:val="clear" w:color="auto" w:fill="auto"/>
            <w:noWrap/>
            <w:vAlign w:val="bottom"/>
            <w:hideMark/>
          </w:tcPr>
          <w:p w:rsidR="00D967C4" w:rsidRPr="00D967C4" w:rsidRDefault="00E551EB" w:rsidP="00E551EB">
            <w:pPr>
              <w:rPr>
                <w:rFonts w:ascii="Arial" w:hAnsi="Arial" w:cs="Arial"/>
                <w:sz w:val="22"/>
                <w:szCs w:val="22"/>
              </w:rPr>
            </w:pPr>
            <w:r>
              <w:rPr>
                <w:rFonts w:ascii="Arial" w:hAnsi="Arial" w:cs="Arial"/>
                <w:sz w:val="22"/>
                <w:szCs w:val="22"/>
              </w:rPr>
              <w:t>НПФ «</w:t>
            </w:r>
            <w:r w:rsidR="00D967C4" w:rsidRPr="00D967C4">
              <w:rPr>
                <w:rFonts w:ascii="Arial" w:hAnsi="Arial" w:cs="Arial"/>
                <w:sz w:val="22"/>
                <w:szCs w:val="22"/>
              </w:rPr>
              <w:t>Н</w:t>
            </w:r>
            <w:r>
              <w:rPr>
                <w:rFonts w:ascii="Arial" w:hAnsi="Arial" w:cs="Arial"/>
                <w:sz w:val="22"/>
                <w:szCs w:val="22"/>
              </w:rPr>
              <w:t>орильский никель»</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127405</w:t>
            </w:r>
          </w:p>
        </w:tc>
        <w:tc>
          <w:tcPr>
            <w:tcW w:w="1560"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141945</w:t>
            </w:r>
          </w:p>
        </w:tc>
        <w:tc>
          <w:tcPr>
            <w:tcW w:w="1559" w:type="dxa"/>
            <w:shd w:val="clear" w:color="auto" w:fill="auto"/>
            <w:noWrap/>
            <w:vAlign w:val="bottom"/>
            <w:hideMark/>
          </w:tcPr>
          <w:p w:rsidR="00D967C4" w:rsidRPr="00D967C4" w:rsidRDefault="00D967C4" w:rsidP="00EB0D06">
            <w:pPr>
              <w:jc w:val="center"/>
              <w:rPr>
                <w:rFonts w:ascii="Arial" w:hAnsi="Arial" w:cs="Arial"/>
                <w:sz w:val="22"/>
                <w:szCs w:val="22"/>
              </w:rPr>
            </w:pPr>
            <w:r w:rsidRPr="00D967C4">
              <w:rPr>
                <w:rFonts w:ascii="Arial" w:hAnsi="Arial" w:cs="Arial"/>
                <w:sz w:val="22"/>
                <w:szCs w:val="22"/>
              </w:rPr>
              <w:t>-14540</w:t>
            </w:r>
          </w:p>
        </w:tc>
      </w:tr>
    </w:tbl>
    <w:p w:rsidR="00D967C4" w:rsidRDefault="00D967C4" w:rsidP="00770C26">
      <w:pPr>
        <w:ind w:firstLine="709"/>
        <w:jc w:val="both"/>
        <w:rPr>
          <w:rFonts w:ascii="Arial" w:hAnsi="Arial"/>
          <w:sz w:val="22"/>
        </w:rPr>
      </w:pPr>
    </w:p>
    <w:p w:rsidR="00770C26" w:rsidRDefault="00770C26" w:rsidP="00770C26">
      <w:pPr>
        <w:ind w:firstLine="709"/>
        <w:jc w:val="both"/>
        <w:rPr>
          <w:rFonts w:ascii="Arial" w:hAnsi="Arial"/>
          <w:sz w:val="22"/>
        </w:rPr>
      </w:pPr>
      <w:r w:rsidRPr="00770C26">
        <w:rPr>
          <w:rFonts w:ascii="Arial" w:hAnsi="Arial"/>
          <w:sz w:val="22"/>
        </w:rPr>
        <w:t xml:space="preserve">В указанные </w:t>
      </w:r>
      <w:r w:rsidR="00E551EB">
        <w:rPr>
          <w:rFonts w:ascii="Arial" w:hAnsi="Arial"/>
          <w:sz w:val="22"/>
        </w:rPr>
        <w:t>15</w:t>
      </w:r>
      <w:r w:rsidRPr="00770C26">
        <w:rPr>
          <w:rFonts w:ascii="Arial" w:hAnsi="Arial"/>
          <w:sz w:val="22"/>
        </w:rPr>
        <w:t xml:space="preserve"> фондов перешли </w:t>
      </w:r>
      <w:r w:rsidR="00E551EB">
        <w:rPr>
          <w:rFonts w:ascii="Arial" w:hAnsi="Arial"/>
          <w:sz w:val="22"/>
        </w:rPr>
        <w:t>83,5%</w:t>
      </w:r>
      <w:r w:rsidRPr="00770C26">
        <w:rPr>
          <w:rFonts w:ascii="Arial" w:hAnsi="Arial"/>
          <w:sz w:val="22"/>
        </w:rPr>
        <w:t xml:space="preserve"> всех застрахованных лиц, осуществивших в 201</w:t>
      </w:r>
      <w:r w:rsidR="0030644D">
        <w:rPr>
          <w:rFonts w:ascii="Arial" w:hAnsi="Arial"/>
          <w:sz w:val="22"/>
        </w:rPr>
        <w:t>2</w:t>
      </w:r>
      <w:r w:rsidRPr="00770C26">
        <w:rPr>
          <w:rFonts w:ascii="Arial" w:hAnsi="Arial"/>
          <w:sz w:val="22"/>
        </w:rPr>
        <w:t xml:space="preserve"> году переход</w:t>
      </w:r>
      <w:r w:rsidR="0030644D">
        <w:rPr>
          <w:rFonts w:ascii="Arial" w:hAnsi="Arial"/>
          <w:sz w:val="22"/>
        </w:rPr>
        <w:t>ы</w:t>
      </w:r>
      <w:r w:rsidRPr="00770C26">
        <w:rPr>
          <w:rFonts w:ascii="Arial" w:hAnsi="Arial"/>
          <w:sz w:val="22"/>
        </w:rPr>
        <w:t xml:space="preserve"> из ПФР в НПФ</w:t>
      </w:r>
      <w:r w:rsidR="0030644D">
        <w:rPr>
          <w:rFonts w:ascii="Arial" w:hAnsi="Arial"/>
          <w:sz w:val="22"/>
        </w:rPr>
        <w:t xml:space="preserve"> или из одного НПФ в другой</w:t>
      </w:r>
      <w:r w:rsidRPr="00770C26">
        <w:rPr>
          <w:rFonts w:ascii="Arial" w:hAnsi="Arial"/>
          <w:sz w:val="22"/>
        </w:rPr>
        <w:t>.</w:t>
      </w:r>
    </w:p>
    <w:p w:rsidR="005320FA" w:rsidRDefault="005320FA" w:rsidP="005320FA">
      <w:pPr>
        <w:ind w:firstLine="709"/>
        <w:jc w:val="both"/>
        <w:rPr>
          <w:rFonts w:ascii="Arial" w:hAnsi="Arial"/>
          <w:sz w:val="22"/>
        </w:rPr>
      </w:pPr>
    </w:p>
    <w:p w:rsidR="008F664C" w:rsidRDefault="008F664C" w:rsidP="005320FA">
      <w:pPr>
        <w:ind w:firstLine="709"/>
        <w:jc w:val="both"/>
        <w:rPr>
          <w:rFonts w:ascii="Arial" w:hAnsi="Arial"/>
          <w:sz w:val="22"/>
        </w:rPr>
      </w:pPr>
      <w:r>
        <w:rPr>
          <w:rFonts w:ascii="Arial" w:hAnsi="Arial"/>
          <w:sz w:val="22"/>
        </w:rPr>
        <w:t>Представляет определенный интерес деятельность крупнейших фондов по привлечению застрахованных лиц из других НПФ, которая характеризуется коэффициентом Кмар (доля застрахованных лиц, пришедших в фонд из других НПФ</w:t>
      </w:r>
      <w:r w:rsidR="00044F40">
        <w:rPr>
          <w:rFonts w:ascii="Arial" w:hAnsi="Arial"/>
          <w:sz w:val="22"/>
        </w:rPr>
        <w:t>,</w:t>
      </w:r>
      <w:r>
        <w:rPr>
          <w:rFonts w:ascii="Arial" w:hAnsi="Arial"/>
          <w:sz w:val="22"/>
        </w:rPr>
        <w:t xml:space="preserve"> в общем числе перешедших в фонд застрахованных лиц)</w:t>
      </w:r>
      <w:r w:rsidR="003D1743">
        <w:rPr>
          <w:rFonts w:ascii="Arial" w:hAnsi="Arial"/>
          <w:sz w:val="22"/>
        </w:rPr>
        <w:t xml:space="preserve"> (Таблица </w:t>
      </w:r>
      <w:r w:rsidR="009E277D">
        <w:rPr>
          <w:rFonts w:ascii="Arial" w:hAnsi="Arial"/>
          <w:sz w:val="22"/>
        </w:rPr>
        <w:t>5</w:t>
      </w:r>
      <w:r>
        <w:rPr>
          <w:rFonts w:ascii="Arial" w:hAnsi="Arial"/>
          <w:sz w:val="22"/>
        </w:rPr>
        <w:t>.</w:t>
      </w:r>
    </w:p>
    <w:p w:rsidR="008F664C" w:rsidRDefault="008F664C" w:rsidP="005320FA">
      <w:pPr>
        <w:ind w:firstLine="709"/>
        <w:jc w:val="both"/>
        <w:rPr>
          <w:rFonts w:ascii="Arial" w:hAnsi="Arial"/>
          <w:sz w:val="22"/>
        </w:rPr>
      </w:pPr>
    </w:p>
    <w:p w:rsidR="003D1743" w:rsidRDefault="003D1743" w:rsidP="003D1743">
      <w:pPr>
        <w:ind w:firstLine="709"/>
        <w:jc w:val="right"/>
        <w:rPr>
          <w:rFonts w:ascii="Arial" w:hAnsi="Arial"/>
          <w:sz w:val="22"/>
        </w:rPr>
      </w:pPr>
      <w:r>
        <w:rPr>
          <w:rFonts w:ascii="Arial" w:hAnsi="Arial"/>
          <w:sz w:val="22"/>
        </w:rPr>
        <w:t>Таблица</w:t>
      </w:r>
      <w:r w:rsidR="009E277D">
        <w:rPr>
          <w:rFonts w:ascii="Arial" w:hAnsi="Arial"/>
          <w:sz w:val="22"/>
        </w:rPr>
        <w:t xml:space="preserve"> 5</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409"/>
        <w:gridCol w:w="1276"/>
        <w:gridCol w:w="1417"/>
        <w:gridCol w:w="1418"/>
        <w:gridCol w:w="1236"/>
      </w:tblGrid>
      <w:tr w:rsidR="001445CA" w:rsidRPr="001445CA" w:rsidTr="008F664C">
        <w:trPr>
          <w:trHeight w:val="915"/>
        </w:trPr>
        <w:tc>
          <w:tcPr>
            <w:tcW w:w="3417" w:type="dxa"/>
            <w:shd w:val="clear" w:color="auto" w:fill="auto"/>
            <w:vAlign w:val="bottom"/>
            <w:hideMark/>
          </w:tcPr>
          <w:p w:rsidR="001445CA" w:rsidRPr="001445CA" w:rsidRDefault="001445CA" w:rsidP="001445CA">
            <w:pPr>
              <w:rPr>
                <w:rFonts w:ascii="Arial" w:hAnsi="Arial" w:cs="Calibri"/>
                <w:sz w:val="22"/>
                <w:szCs w:val="22"/>
              </w:rPr>
            </w:pPr>
          </w:p>
        </w:tc>
        <w:tc>
          <w:tcPr>
            <w:tcW w:w="1409" w:type="dxa"/>
            <w:shd w:val="clear" w:color="auto" w:fill="auto"/>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Переходы ПФР - НПФ</w:t>
            </w:r>
          </w:p>
        </w:tc>
        <w:tc>
          <w:tcPr>
            <w:tcW w:w="1276" w:type="dxa"/>
            <w:shd w:val="clear" w:color="auto" w:fill="auto"/>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Переходы НПФ-НПФ</w:t>
            </w:r>
          </w:p>
        </w:tc>
        <w:tc>
          <w:tcPr>
            <w:tcW w:w="1417" w:type="dxa"/>
            <w:shd w:val="clear" w:color="auto" w:fill="auto"/>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Число ушедших</w:t>
            </w:r>
          </w:p>
        </w:tc>
        <w:tc>
          <w:tcPr>
            <w:tcW w:w="1418" w:type="dxa"/>
            <w:shd w:val="clear" w:color="auto" w:fill="auto"/>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 xml:space="preserve">Баланс </w:t>
            </w:r>
            <w:r>
              <w:rPr>
                <w:rFonts w:ascii="Arial" w:hAnsi="Arial" w:cs="Calibri"/>
                <w:sz w:val="22"/>
                <w:szCs w:val="22"/>
              </w:rPr>
              <w:t>переходов</w:t>
            </w:r>
            <w:r w:rsidRPr="001445CA">
              <w:rPr>
                <w:rFonts w:ascii="Arial" w:hAnsi="Arial" w:cs="Calibri"/>
                <w:sz w:val="22"/>
                <w:szCs w:val="22"/>
              </w:rPr>
              <w:t>НПФ</w:t>
            </w:r>
            <w:r>
              <w:rPr>
                <w:rFonts w:ascii="Arial" w:hAnsi="Arial" w:cs="Calibri"/>
                <w:sz w:val="22"/>
                <w:szCs w:val="22"/>
              </w:rPr>
              <w:t xml:space="preserve"> - НПФ</w:t>
            </w:r>
          </w:p>
        </w:tc>
        <w:tc>
          <w:tcPr>
            <w:tcW w:w="1236" w:type="dxa"/>
            <w:shd w:val="clear" w:color="auto" w:fill="auto"/>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Кмар</w:t>
            </w:r>
          </w:p>
        </w:tc>
      </w:tr>
      <w:tr w:rsidR="001445CA" w:rsidRPr="001445CA" w:rsidTr="008F664C">
        <w:trPr>
          <w:trHeight w:val="300"/>
        </w:trPr>
        <w:tc>
          <w:tcPr>
            <w:tcW w:w="3417" w:type="dxa"/>
            <w:shd w:val="clear" w:color="auto" w:fill="auto"/>
            <w:noWrap/>
            <w:vAlign w:val="bottom"/>
            <w:hideMark/>
          </w:tcPr>
          <w:p w:rsidR="001445CA" w:rsidRPr="001445CA" w:rsidRDefault="001445CA" w:rsidP="001445CA">
            <w:pPr>
              <w:rPr>
                <w:rFonts w:ascii="Arial" w:hAnsi="Arial" w:cs="Calibri"/>
                <w:sz w:val="22"/>
                <w:szCs w:val="22"/>
              </w:rPr>
            </w:pPr>
            <w:r w:rsidRPr="001445CA">
              <w:rPr>
                <w:rFonts w:ascii="Arial" w:hAnsi="Arial" w:cs="Calibri"/>
                <w:sz w:val="22"/>
                <w:szCs w:val="22"/>
              </w:rPr>
              <w:t>НПФ Росгосстраха</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589000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89698</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57802</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31896</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13,22%</w:t>
            </w:r>
          </w:p>
        </w:tc>
      </w:tr>
      <w:tr w:rsidR="001445CA" w:rsidRPr="001445CA" w:rsidTr="008F664C">
        <w:trPr>
          <w:trHeight w:val="300"/>
        </w:trPr>
        <w:tc>
          <w:tcPr>
            <w:tcW w:w="3417" w:type="dxa"/>
            <w:shd w:val="clear" w:color="auto" w:fill="auto"/>
            <w:noWrap/>
            <w:vAlign w:val="bottom"/>
            <w:hideMark/>
          </w:tcPr>
          <w:p w:rsidR="001445CA" w:rsidRPr="001445CA" w:rsidRDefault="001445CA" w:rsidP="008F664C">
            <w:pPr>
              <w:rPr>
                <w:rFonts w:ascii="Arial" w:hAnsi="Arial" w:cs="Calibri"/>
                <w:sz w:val="22"/>
                <w:szCs w:val="22"/>
              </w:rPr>
            </w:pPr>
            <w:r w:rsidRPr="001445CA">
              <w:rPr>
                <w:rFonts w:ascii="Arial" w:hAnsi="Arial" w:cs="Calibri"/>
                <w:sz w:val="22"/>
                <w:szCs w:val="22"/>
              </w:rPr>
              <w:t>НПФ «КИТ Ф</w:t>
            </w:r>
            <w:r w:rsidR="008F664C">
              <w:rPr>
                <w:rFonts w:ascii="Arial" w:hAnsi="Arial" w:cs="Calibri"/>
                <w:sz w:val="22"/>
                <w:szCs w:val="22"/>
              </w:rPr>
              <w:t>инанс</w:t>
            </w:r>
            <w:r>
              <w:rPr>
                <w:rFonts w:ascii="Arial" w:hAnsi="Arial" w:cs="Calibri"/>
                <w:sz w:val="22"/>
                <w:szCs w:val="22"/>
              </w:rPr>
              <w:t>»</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575000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177435</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136288</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41147</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23,58%</w:t>
            </w:r>
          </w:p>
        </w:tc>
      </w:tr>
      <w:tr w:rsidR="001445CA" w:rsidRPr="001445CA" w:rsidTr="008F664C">
        <w:trPr>
          <w:trHeight w:val="300"/>
        </w:trPr>
        <w:tc>
          <w:tcPr>
            <w:tcW w:w="3417" w:type="dxa"/>
            <w:shd w:val="clear" w:color="auto" w:fill="auto"/>
            <w:noWrap/>
            <w:vAlign w:val="bottom"/>
            <w:hideMark/>
          </w:tcPr>
          <w:p w:rsidR="001445CA" w:rsidRPr="001445CA" w:rsidRDefault="001445CA" w:rsidP="001445CA">
            <w:pPr>
              <w:rPr>
                <w:rFonts w:ascii="Arial" w:hAnsi="Arial" w:cs="Calibri"/>
                <w:sz w:val="22"/>
                <w:szCs w:val="22"/>
              </w:rPr>
            </w:pPr>
            <w:r w:rsidRPr="001445CA">
              <w:rPr>
                <w:rFonts w:ascii="Arial" w:hAnsi="Arial" w:cs="Calibri"/>
                <w:sz w:val="22"/>
                <w:szCs w:val="22"/>
              </w:rPr>
              <w:t>НПФ Сбербанка</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386000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41837</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34055</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7782</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9,78%</w:t>
            </w:r>
          </w:p>
        </w:tc>
      </w:tr>
      <w:tr w:rsidR="001445CA" w:rsidRPr="001445CA" w:rsidTr="008F664C">
        <w:trPr>
          <w:trHeight w:val="300"/>
        </w:trPr>
        <w:tc>
          <w:tcPr>
            <w:tcW w:w="3417" w:type="dxa"/>
            <w:shd w:val="clear" w:color="auto" w:fill="auto"/>
            <w:noWrap/>
            <w:vAlign w:val="bottom"/>
            <w:hideMark/>
          </w:tcPr>
          <w:p w:rsidR="001445CA" w:rsidRPr="001445CA" w:rsidRDefault="001445CA" w:rsidP="001445CA">
            <w:pPr>
              <w:rPr>
                <w:rFonts w:ascii="Arial" w:hAnsi="Arial" w:cs="Calibri"/>
                <w:sz w:val="22"/>
                <w:szCs w:val="22"/>
              </w:rPr>
            </w:pPr>
            <w:r w:rsidRPr="001445CA">
              <w:rPr>
                <w:rFonts w:ascii="Arial" w:hAnsi="Arial" w:cs="Calibri"/>
                <w:sz w:val="22"/>
                <w:szCs w:val="22"/>
              </w:rPr>
              <w:t>НПФ «ЛУКОЙЛ-ГАРАНТ»</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353000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140760</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131844</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8916</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28,51%</w:t>
            </w:r>
          </w:p>
        </w:tc>
      </w:tr>
      <w:tr w:rsidR="001445CA" w:rsidRPr="001445CA" w:rsidTr="008F664C">
        <w:trPr>
          <w:trHeight w:val="300"/>
        </w:trPr>
        <w:tc>
          <w:tcPr>
            <w:tcW w:w="3417" w:type="dxa"/>
            <w:shd w:val="clear" w:color="auto" w:fill="auto"/>
            <w:noWrap/>
            <w:vAlign w:val="bottom"/>
            <w:hideMark/>
          </w:tcPr>
          <w:p w:rsidR="001445CA" w:rsidRPr="001445CA" w:rsidRDefault="001445CA" w:rsidP="001445CA">
            <w:pPr>
              <w:rPr>
                <w:rFonts w:ascii="Arial" w:hAnsi="Arial" w:cs="Calibri"/>
                <w:sz w:val="22"/>
                <w:szCs w:val="22"/>
              </w:rPr>
            </w:pPr>
            <w:r w:rsidRPr="001445CA">
              <w:rPr>
                <w:rFonts w:ascii="Arial" w:hAnsi="Arial" w:cs="Calibri"/>
                <w:sz w:val="22"/>
                <w:szCs w:val="22"/>
              </w:rPr>
              <w:t>НПФ «Доверие»</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223000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105065</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4849</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100216</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32,03%</w:t>
            </w:r>
          </w:p>
        </w:tc>
      </w:tr>
      <w:tr w:rsidR="001445CA" w:rsidRPr="001445CA" w:rsidTr="008F664C">
        <w:trPr>
          <w:trHeight w:val="300"/>
        </w:trPr>
        <w:tc>
          <w:tcPr>
            <w:tcW w:w="3417" w:type="dxa"/>
            <w:shd w:val="clear" w:color="auto" w:fill="auto"/>
            <w:noWrap/>
            <w:vAlign w:val="bottom"/>
            <w:hideMark/>
          </w:tcPr>
          <w:p w:rsidR="001445CA" w:rsidRPr="001445CA" w:rsidRDefault="001445CA" w:rsidP="001445CA">
            <w:pPr>
              <w:rPr>
                <w:rFonts w:ascii="Arial" w:hAnsi="Arial" w:cs="Calibri"/>
                <w:sz w:val="22"/>
                <w:szCs w:val="22"/>
              </w:rPr>
            </w:pPr>
            <w:r w:rsidRPr="001445CA">
              <w:rPr>
                <w:rFonts w:ascii="Arial" w:hAnsi="Arial" w:cs="Calibri"/>
                <w:sz w:val="22"/>
                <w:szCs w:val="22"/>
              </w:rPr>
              <w:t>НПФ «ВТБ пенсионный фонд»</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315000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44070</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40641</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3429</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12,27%</w:t>
            </w:r>
          </w:p>
        </w:tc>
      </w:tr>
      <w:tr w:rsidR="001445CA" w:rsidRPr="001445CA" w:rsidTr="008F664C">
        <w:trPr>
          <w:trHeight w:val="300"/>
        </w:trPr>
        <w:tc>
          <w:tcPr>
            <w:tcW w:w="3417" w:type="dxa"/>
            <w:shd w:val="clear" w:color="auto" w:fill="auto"/>
            <w:noWrap/>
            <w:vAlign w:val="bottom"/>
            <w:hideMark/>
          </w:tcPr>
          <w:p w:rsidR="001445CA" w:rsidRPr="001445CA" w:rsidRDefault="001445CA" w:rsidP="001445CA">
            <w:pPr>
              <w:rPr>
                <w:rFonts w:ascii="Arial" w:hAnsi="Arial" w:cs="Calibri"/>
                <w:sz w:val="22"/>
                <w:szCs w:val="22"/>
              </w:rPr>
            </w:pPr>
            <w:r w:rsidRPr="001445CA">
              <w:rPr>
                <w:rFonts w:ascii="Arial" w:hAnsi="Arial" w:cs="Calibri"/>
                <w:sz w:val="22"/>
                <w:szCs w:val="22"/>
              </w:rPr>
              <w:t>НПФ «Р</w:t>
            </w:r>
            <w:r>
              <w:rPr>
                <w:rFonts w:ascii="Arial" w:hAnsi="Arial" w:cs="Calibri"/>
                <w:sz w:val="22"/>
                <w:szCs w:val="22"/>
              </w:rPr>
              <w:t>енессанс</w:t>
            </w:r>
            <w:r w:rsidRPr="001445CA">
              <w:rPr>
                <w:rFonts w:ascii="Arial" w:hAnsi="Arial" w:cs="Calibri"/>
                <w:sz w:val="22"/>
                <w:szCs w:val="22"/>
              </w:rPr>
              <w:t xml:space="preserve"> Ж</w:t>
            </w:r>
            <w:r w:rsidR="008F664C">
              <w:rPr>
                <w:rFonts w:ascii="Arial" w:hAnsi="Arial" w:cs="Calibri"/>
                <w:sz w:val="22"/>
                <w:szCs w:val="22"/>
              </w:rPr>
              <w:t xml:space="preserve"> </w:t>
            </w:r>
            <w:r w:rsidRPr="001445CA">
              <w:rPr>
                <w:rFonts w:ascii="Arial" w:hAnsi="Arial" w:cs="Calibri"/>
                <w:sz w:val="22"/>
                <w:szCs w:val="22"/>
              </w:rPr>
              <w:t>и</w:t>
            </w:r>
            <w:r w:rsidR="008F664C">
              <w:rPr>
                <w:rFonts w:ascii="Arial" w:hAnsi="Arial" w:cs="Calibri"/>
                <w:sz w:val="22"/>
                <w:szCs w:val="22"/>
              </w:rPr>
              <w:t xml:space="preserve"> </w:t>
            </w:r>
            <w:r>
              <w:rPr>
                <w:rFonts w:ascii="Arial" w:hAnsi="Arial" w:cs="Calibri"/>
                <w:sz w:val="22"/>
                <w:szCs w:val="22"/>
              </w:rPr>
              <w:t>П</w:t>
            </w:r>
            <w:r w:rsidRPr="001445CA">
              <w:rPr>
                <w:rFonts w:ascii="Arial" w:hAnsi="Arial" w:cs="Calibri"/>
                <w:sz w:val="22"/>
                <w:szCs w:val="22"/>
              </w:rPr>
              <w:t>»</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209000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124344</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72978</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51366</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37,30%</w:t>
            </w:r>
          </w:p>
        </w:tc>
      </w:tr>
      <w:tr w:rsidR="001445CA" w:rsidRPr="001445CA" w:rsidTr="008F664C">
        <w:trPr>
          <w:trHeight w:val="300"/>
        </w:trPr>
        <w:tc>
          <w:tcPr>
            <w:tcW w:w="3417" w:type="dxa"/>
            <w:shd w:val="clear" w:color="auto" w:fill="auto"/>
            <w:noWrap/>
            <w:vAlign w:val="bottom"/>
            <w:hideMark/>
          </w:tcPr>
          <w:p w:rsidR="001445CA" w:rsidRPr="001445CA" w:rsidRDefault="001445CA" w:rsidP="001445CA">
            <w:pPr>
              <w:rPr>
                <w:rFonts w:ascii="Arial" w:hAnsi="Arial" w:cs="Calibri"/>
                <w:sz w:val="22"/>
                <w:szCs w:val="22"/>
              </w:rPr>
            </w:pPr>
            <w:r w:rsidRPr="001445CA">
              <w:rPr>
                <w:rFonts w:ascii="Arial" w:hAnsi="Arial" w:cs="Calibri"/>
                <w:sz w:val="22"/>
                <w:szCs w:val="22"/>
              </w:rPr>
              <w:t>НПФ «Сталь – Фонд»</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272000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83832</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118403</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-34571</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23,56%</w:t>
            </w:r>
          </w:p>
        </w:tc>
      </w:tr>
      <w:tr w:rsidR="001445CA" w:rsidRPr="001445CA" w:rsidTr="008F664C">
        <w:trPr>
          <w:trHeight w:val="300"/>
        </w:trPr>
        <w:tc>
          <w:tcPr>
            <w:tcW w:w="3417" w:type="dxa"/>
            <w:shd w:val="clear" w:color="auto" w:fill="auto"/>
            <w:noWrap/>
            <w:vAlign w:val="bottom"/>
            <w:hideMark/>
          </w:tcPr>
          <w:p w:rsidR="001445CA" w:rsidRPr="001445CA" w:rsidRDefault="001445CA" w:rsidP="001445CA">
            <w:pPr>
              <w:rPr>
                <w:rFonts w:ascii="Arial" w:hAnsi="Arial" w:cs="Calibri"/>
                <w:sz w:val="22"/>
                <w:szCs w:val="22"/>
              </w:rPr>
            </w:pPr>
            <w:r w:rsidRPr="001445CA">
              <w:rPr>
                <w:rFonts w:ascii="Arial" w:hAnsi="Arial" w:cs="Calibri"/>
                <w:sz w:val="22"/>
                <w:szCs w:val="22"/>
              </w:rPr>
              <w:t>НПФ «Промагрофонд»</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299000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72263</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150028</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-77765</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19,46%</w:t>
            </w:r>
          </w:p>
        </w:tc>
      </w:tr>
      <w:tr w:rsidR="001445CA" w:rsidRPr="001445CA" w:rsidTr="008F664C">
        <w:trPr>
          <w:trHeight w:val="300"/>
        </w:trPr>
        <w:tc>
          <w:tcPr>
            <w:tcW w:w="3417" w:type="dxa"/>
            <w:shd w:val="clear" w:color="auto" w:fill="auto"/>
            <w:noWrap/>
            <w:vAlign w:val="bottom"/>
            <w:hideMark/>
          </w:tcPr>
          <w:p w:rsidR="001445CA" w:rsidRPr="001445CA" w:rsidRDefault="001445CA" w:rsidP="001445CA">
            <w:pPr>
              <w:rPr>
                <w:rFonts w:ascii="Arial" w:hAnsi="Arial" w:cs="Calibri"/>
                <w:sz w:val="22"/>
                <w:szCs w:val="22"/>
              </w:rPr>
            </w:pPr>
            <w:r w:rsidRPr="001445CA">
              <w:rPr>
                <w:rFonts w:ascii="Arial" w:hAnsi="Arial" w:cs="Calibri"/>
                <w:sz w:val="22"/>
                <w:szCs w:val="22"/>
              </w:rPr>
              <w:t>НПФ электроэнергетики</w:t>
            </w:r>
          </w:p>
        </w:tc>
        <w:tc>
          <w:tcPr>
            <w:tcW w:w="1409"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221000</w:t>
            </w:r>
          </w:p>
        </w:tc>
        <w:tc>
          <w:tcPr>
            <w:tcW w:w="127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70233</w:t>
            </w:r>
          </w:p>
        </w:tc>
        <w:tc>
          <w:tcPr>
            <w:tcW w:w="1417"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71156</w:t>
            </w:r>
          </w:p>
        </w:tc>
        <w:tc>
          <w:tcPr>
            <w:tcW w:w="1418"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-923</w:t>
            </w:r>
          </w:p>
        </w:tc>
        <w:tc>
          <w:tcPr>
            <w:tcW w:w="1236" w:type="dxa"/>
            <w:shd w:val="clear" w:color="auto" w:fill="auto"/>
            <w:noWrap/>
            <w:vAlign w:val="bottom"/>
            <w:hideMark/>
          </w:tcPr>
          <w:p w:rsidR="001445CA" w:rsidRPr="001445CA" w:rsidRDefault="001445CA" w:rsidP="008F664C">
            <w:pPr>
              <w:jc w:val="center"/>
              <w:rPr>
                <w:rFonts w:ascii="Arial" w:hAnsi="Arial" w:cs="Calibri"/>
                <w:sz w:val="22"/>
                <w:szCs w:val="22"/>
              </w:rPr>
            </w:pPr>
            <w:r w:rsidRPr="001445CA">
              <w:rPr>
                <w:rFonts w:ascii="Arial" w:hAnsi="Arial" w:cs="Calibri"/>
                <w:sz w:val="22"/>
                <w:szCs w:val="22"/>
              </w:rPr>
              <w:t>24,12%</w:t>
            </w:r>
          </w:p>
        </w:tc>
      </w:tr>
    </w:tbl>
    <w:p w:rsidR="001445CA" w:rsidRDefault="001445CA" w:rsidP="005320FA">
      <w:pPr>
        <w:ind w:firstLine="709"/>
        <w:jc w:val="both"/>
        <w:rPr>
          <w:rFonts w:ascii="Arial" w:hAnsi="Arial"/>
          <w:sz w:val="22"/>
        </w:rPr>
      </w:pPr>
    </w:p>
    <w:p w:rsidR="008F664C" w:rsidRDefault="004F3B53" w:rsidP="005320FA">
      <w:pPr>
        <w:ind w:firstLine="709"/>
        <w:jc w:val="both"/>
        <w:rPr>
          <w:rFonts w:ascii="Arial" w:hAnsi="Arial"/>
          <w:sz w:val="22"/>
        </w:rPr>
      </w:pPr>
      <w:r>
        <w:rPr>
          <w:rFonts w:ascii="Arial" w:hAnsi="Arial"/>
          <w:sz w:val="22"/>
        </w:rPr>
        <w:t xml:space="preserve">Как видим, </w:t>
      </w:r>
      <w:r w:rsidR="009E277D" w:rsidRPr="009E277D">
        <w:rPr>
          <w:rFonts w:ascii="Arial" w:hAnsi="Arial"/>
          <w:sz w:val="22"/>
        </w:rPr>
        <w:t xml:space="preserve">в 2012 году </w:t>
      </w:r>
      <w:r>
        <w:rPr>
          <w:rFonts w:ascii="Arial" w:hAnsi="Arial"/>
          <w:sz w:val="22"/>
        </w:rPr>
        <w:t xml:space="preserve">отдельными фондами </w:t>
      </w:r>
      <w:r w:rsidR="009E277D" w:rsidRPr="009E277D">
        <w:rPr>
          <w:rFonts w:ascii="Arial" w:hAnsi="Arial"/>
          <w:sz w:val="22"/>
        </w:rPr>
        <w:t xml:space="preserve">из других НПФ было привлечено </w:t>
      </w:r>
      <w:r>
        <w:rPr>
          <w:rFonts w:ascii="Arial" w:hAnsi="Arial"/>
          <w:sz w:val="22"/>
        </w:rPr>
        <w:t>более трети всех застрахованных лиц, пришедших в фонд.</w:t>
      </w:r>
    </w:p>
    <w:p w:rsidR="001445CA" w:rsidRDefault="001445CA" w:rsidP="005320FA">
      <w:pPr>
        <w:ind w:firstLine="709"/>
        <w:jc w:val="both"/>
        <w:rPr>
          <w:rFonts w:ascii="Arial" w:hAnsi="Arial"/>
          <w:sz w:val="22"/>
        </w:rPr>
      </w:pPr>
    </w:p>
    <w:p w:rsidR="00507B42" w:rsidRDefault="00507B42" w:rsidP="00A05949">
      <w:pPr>
        <w:ind w:firstLine="709"/>
        <w:jc w:val="both"/>
        <w:rPr>
          <w:rFonts w:ascii="Arial" w:hAnsi="Arial"/>
          <w:sz w:val="22"/>
        </w:rPr>
      </w:pPr>
      <w:r w:rsidRPr="00507B42">
        <w:rPr>
          <w:rFonts w:ascii="Arial" w:hAnsi="Arial"/>
          <w:sz w:val="22"/>
        </w:rPr>
        <w:t xml:space="preserve">Важным направлением совместной работы НАПФ и Пенсионного фонда России явилось принятие мер по предупреждению нарушений прав застрахованных лиц при выборе места формирования пенсионных накоплений. Это в равной степени относится </w:t>
      </w:r>
      <w:r>
        <w:rPr>
          <w:rFonts w:ascii="Arial" w:hAnsi="Arial"/>
          <w:sz w:val="22"/>
        </w:rPr>
        <w:t>как</w:t>
      </w:r>
      <w:r w:rsidRPr="00507B42">
        <w:rPr>
          <w:rFonts w:ascii="Arial" w:hAnsi="Arial"/>
          <w:sz w:val="22"/>
        </w:rPr>
        <w:t xml:space="preserve"> ко всем случаям отказа в удовлетворении заявлений застрахованного лица при его </w:t>
      </w:r>
      <w:r w:rsidRPr="00507B42">
        <w:rPr>
          <w:rFonts w:ascii="Arial" w:hAnsi="Arial"/>
          <w:sz w:val="22"/>
        </w:rPr>
        <w:lastRenderedPageBreak/>
        <w:t>рассмотрении Пенсионным фондом России</w:t>
      </w:r>
      <w:r>
        <w:rPr>
          <w:rFonts w:ascii="Arial" w:hAnsi="Arial"/>
          <w:sz w:val="22"/>
        </w:rPr>
        <w:t xml:space="preserve">, так и </w:t>
      </w:r>
      <w:r w:rsidRPr="00507B42">
        <w:rPr>
          <w:rFonts w:ascii="Arial" w:hAnsi="Arial"/>
          <w:sz w:val="22"/>
        </w:rPr>
        <w:t xml:space="preserve">к неправомерному переводу застрахованного лица из ПФР в НПФ или из одного НПФ в другой. </w:t>
      </w:r>
    </w:p>
    <w:p w:rsidR="00A05949" w:rsidRPr="00A05949" w:rsidRDefault="00A05949" w:rsidP="00A05949">
      <w:pPr>
        <w:ind w:firstLine="709"/>
        <w:jc w:val="both"/>
        <w:rPr>
          <w:rFonts w:ascii="Arial" w:hAnsi="Arial"/>
          <w:sz w:val="22"/>
        </w:rPr>
      </w:pPr>
      <w:r w:rsidRPr="00A05949">
        <w:rPr>
          <w:rFonts w:ascii="Arial" w:hAnsi="Arial"/>
          <w:sz w:val="22"/>
        </w:rPr>
        <w:t xml:space="preserve">Итоги кампании 2012 года показывают значительный рост числа отказов по сравнению с предыдущими годами (по итогам 2010 года среднее число отказов составило 18,24%, по итогам 2011 года – 19,1%), что свидетельствует о существенном снижении качества оформления заявлений, передаваемых негосударственными пенсионными фондами в ПФР. </w:t>
      </w:r>
    </w:p>
    <w:p w:rsidR="00A05949" w:rsidRPr="00A05949" w:rsidRDefault="00A05949" w:rsidP="00A05949">
      <w:pPr>
        <w:ind w:firstLine="709"/>
        <w:jc w:val="both"/>
        <w:rPr>
          <w:rFonts w:ascii="Arial" w:hAnsi="Arial"/>
          <w:sz w:val="22"/>
        </w:rPr>
      </w:pPr>
      <w:r w:rsidRPr="00A05949">
        <w:rPr>
          <w:rFonts w:ascii="Arial" w:hAnsi="Arial"/>
          <w:sz w:val="22"/>
        </w:rPr>
        <w:t>Главной причиной отмеченного роста общего количества отказов является, по нашему мнению, крайняя неравномерность поступления заявлений. Из общего числа поданных заявлений о выборе способа формирования пенсионных накоплений почти 2,9 млн. заявлений (33%) поступили после 1 декабря 2012 года, из них 1,7 млн. (19,5%) – уже после 31 декабря 2012 года.</w:t>
      </w:r>
    </w:p>
    <w:p w:rsidR="00A05949" w:rsidRPr="00A05949" w:rsidRDefault="00A05949" w:rsidP="00A05949">
      <w:pPr>
        <w:ind w:firstLine="709"/>
        <w:jc w:val="both"/>
        <w:rPr>
          <w:rFonts w:ascii="Arial" w:hAnsi="Arial"/>
          <w:sz w:val="22"/>
        </w:rPr>
      </w:pPr>
      <w:r w:rsidRPr="00A05949">
        <w:rPr>
          <w:rFonts w:ascii="Arial" w:hAnsi="Arial"/>
          <w:sz w:val="22"/>
        </w:rPr>
        <w:t>Практически одновременное поступление большого количества заявлений приводит к спешке в работе персонала Пенсионного фонда России, связанного с необходимостью исполнения законодательно установленных сроков принятия решения по поступившим заявлениям, и, соответственно, к снижению качества работы.</w:t>
      </w:r>
    </w:p>
    <w:p w:rsidR="00A05949" w:rsidRDefault="00A05949" w:rsidP="00A05949">
      <w:pPr>
        <w:ind w:firstLine="709"/>
        <w:jc w:val="both"/>
        <w:rPr>
          <w:rFonts w:ascii="Arial" w:hAnsi="Arial"/>
          <w:sz w:val="22"/>
        </w:rPr>
      </w:pPr>
      <w:r w:rsidRPr="00A05949">
        <w:rPr>
          <w:rFonts w:ascii="Arial" w:hAnsi="Arial"/>
          <w:sz w:val="22"/>
        </w:rPr>
        <w:t xml:space="preserve">Решением этого вопроса явился бы переход к «непрерывному» методу рассмотрения заявлений, аналогичному порядку, предусмотренному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w:t>
      </w:r>
    </w:p>
    <w:p w:rsidR="003D1743" w:rsidRDefault="003D1743" w:rsidP="00A05949">
      <w:pPr>
        <w:ind w:firstLine="709"/>
        <w:jc w:val="both"/>
        <w:rPr>
          <w:rFonts w:ascii="Arial" w:hAnsi="Arial"/>
          <w:sz w:val="22"/>
        </w:rPr>
      </w:pPr>
    </w:p>
    <w:p w:rsidR="003D1743" w:rsidRDefault="003D1743" w:rsidP="003D1743">
      <w:pPr>
        <w:ind w:firstLine="709"/>
        <w:jc w:val="both"/>
        <w:rPr>
          <w:rFonts w:ascii="Arial" w:hAnsi="Arial"/>
          <w:sz w:val="22"/>
        </w:rPr>
      </w:pPr>
      <w:r w:rsidRPr="003D1743">
        <w:rPr>
          <w:rFonts w:ascii="Arial" w:hAnsi="Arial"/>
          <w:sz w:val="22"/>
        </w:rPr>
        <w:t>Рост числа заявлений, по которым принято решение об отказе в их удовлетворении, даже вынудило Пенсионный фонд России специально отмежеваться от своей роли в обеспечении качества приема и рассмотрения заявлений: «Важно отметить, что более 97% заявлений и договоров ПФР получает от организаций, с которыми у Фонда заключены соглашения о взаимном удостоверении подписей, т. е. от трансферагентов, среди которых большая часть – это НПФ, осуществляющие формирование пенсионных накоплений граждан в рамках ОПС. Именно трансферагенты гарантируют ПФР достоверность заявлений и договоров ОПС, которые они направляют в ПФР».</w:t>
      </w:r>
    </w:p>
    <w:p w:rsidR="003D1743" w:rsidRDefault="002F2138" w:rsidP="003D1743">
      <w:pPr>
        <w:ind w:firstLine="709"/>
        <w:jc w:val="both"/>
        <w:rPr>
          <w:rFonts w:ascii="Arial" w:hAnsi="Arial"/>
          <w:sz w:val="22"/>
        </w:rPr>
      </w:pPr>
      <w:r w:rsidRPr="002F2138">
        <w:rPr>
          <w:rFonts w:ascii="Arial" w:hAnsi="Arial"/>
          <w:sz w:val="22"/>
        </w:rPr>
        <w:t xml:space="preserve">ПФР не опубликовал </w:t>
      </w:r>
      <w:r>
        <w:rPr>
          <w:rFonts w:ascii="Arial" w:hAnsi="Arial"/>
          <w:sz w:val="22"/>
        </w:rPr>
        <w:t>п</w:t>
      </w:r>
      <w:r w:rsidR="003D1743" w:rsidRPr="00954918">
        <w:rPr>
          <w:rFonts w:ascii="Arial" w:hAnsi="Arial"/>
          <w:sz w:val="22"/>
        </w:rPr>
        <w:t>о итогам 2012 года анализ по отдельным видам заявлений, как он делал в предыдущие годы, а дал только обобщенные данные по отказам</w:t>
      </w:r>
      <w:r w:rsidR="003D1743">
        <w:rPr>
          <w:rFonts w:ascii="Arial" w:hAnsi="Arial"/>
          <w:sz w:val="22"/>
        </w:rPr>
        <w:t xml:space="preserve">, </w:t>
      </w:r>
      <w:r>
        <w:rPr>
          <w:rFonts w:ascii="Arial" w:hAnsi="Arial"/>
          <w:sz w:val="22"/>
        </w:rPr>
        <w:t xml:space="preserve">поэтому сошлемся на </w:t>
      </w:r>
      <w:r w:rsidRPr="002F2138">
        <w:rPr>
          <w:rFonts w:ascii="Arial" w:hAnsi="Arial"/>
          <w:sz w:val="22"/>
        </w:rPr>
        <w:t>анализ по видам заявлений</w:t>
      </w:r>
      <w:r>
        <w:rPr>
          <w:rFonts w:ascii="Arial" w:hAnsi="Arial"/>
          <w:sz w:val="22"/>
        </w:rPr>
        <w:t>,</w:t>
      </w:r>
      <w:r w:rsidRPr="002F2138">
        <w:rPr>
          <w:rFonts w:ascii="Arial" w:hAnsi="Arial"/>
          <w:sz w:val="22"/>
        </w:rPr>
        <w:t xml:space="preserve"> </w:t>
      </w:r>
      <w:r w:rsidR="003D1743" w:rsidRPr="00D778C8">
        <w:rPr>
          <w:rFonts w:ascii="Arial" w:hAnsi="Arial"/>
          <w:sz w:val="22"/>
        </w:rPr>
        <w:t>проведенный по итогам 2010 года</w:t>
      </w:r>
      <w:r>
        <w:rPr>
          <w:rFonts w:ascii="Arial" w:hAnsi="Arial"/>
          <w:sz w:val="22"/>
        </w:rPr>
        <w:t>, который</w:t>
      </w:r>
      <w:r w:rsidR="003D1743" w:rsidRPr="00D778C8">
        <w:rPr>
          <w:rFonts w:ascii="Arial" w:hAnsi="Arial"/>
          <w:sz w:val="22"/>
        </w:rPr>
        <w:t xml:space="preserve"> показывает иное</w:t>
      </w:r>
      <w:r w:rsidR="003D1743">
        <w:rPr>
          <w:rFonts w:ascii="Arial" w:hAnsi="Arial"/>
          <w:sz w:val="22"/>
        </w:rPr>
        <w:t xml:space="preserve">: </w:t>
      </w:r>
      <w:r w:rsidR="003D1743" w:rsidRPr="00D778C8">
        <w:rPr>
          <w:rFonts w:ascii="Arial" w:hAnsi="Arial"/>
          <w:sz w:val="22"/>
        </w:rPr>
        <w:t>при среднем числе отказов - 18,24%, отказы в удовлетворении заявлений в зависимости от их вида составили</w:t>
      </w:r>
      <w:r w:rsidR="003D1743">
        <w:rPr>
          <w:rFonts w:ascii="Arial" w:hAnsi="Arial"/>
          <w:sz w:val="22"/>
        </w:rPr>
        <w:t xml:space="preserve"> (таблица</w:t>
      </w:r>
      <w:r>
        <w:rPr>
          <w:rFonts w:ascii="Arial" w:hAnsi="Arial"/>
          <w:sz w:val="22"/>
        </w:rPr>
        <w:t xml:space="preserve"> 6</w:t>
      </w:r>
      <w:r w:rsidR="003D1743">
        <w:rPr>
          <w:rFonts w:ascii="Arial" w:hAnsi="Arial"/>
          <w:sz w:val="22"/>
        </w:rPr>
        <w:t>)</w:t>
      </w:r>
      <w:r w:rsidR="003D1743" w:rsidRPr="00D778C8">
        <w:rPr>
          <w:rFonts w:ascii="Arial" w:hAnsi="Arial"/>
          <w:sz w:val="22"/>
        </w:rPr>
        <w:t>:</w:t>
      </w:r>
    </w:p>
    <w:p w:rsidR="003D1743" w:rsidRDefault="003D1743" w:rsidP="003D1743">
      <w:pPr>
        <w:ind w:firstLine="709"/>
        <w:jc w:val="both"/>
        <w:rPr>
          <w:rFonts w:ascii="Arial" w:hAnsi="Arial"/>
          <w:sz w:val="22"/>
        </w:rPr>
      </w:pPr>
    </w:p>
    <w:p w:rsidR="003D1743" w:rsidRDefault="003D1743" w:rsidP="003D1743">
      <w:pPr>
        <w:ind w:firstLine="709"/>
        <w:jc w:val="right"/>
        <w:rPr>
          <w:rFonts w:ascii="Arial" w:hAnsi="Arial"/>
          <w:sz w:val="22"/>
        </w:rPr>
      </w:pPr>
      <w:r>
        <w:rPr>
          <w:rFonts w:ascii="Arial" w:hAnsi="Arial"/>
          <w:sz w:val="22"/>
        </w:rPr>
        <w:t xml:space="preserve">Таблица </w:t>
      </w:r>
      <w:r w:rsidR="002F2138">
        <w:rPr>
          <w:rFonts w:ascii="Arial" w:hAnsi="Arial"/>
          <w:sz w:val="22"/>
        </w:rPr>
        <w:t>6</w:t>
      </w:r>
    </w:p>
    <w:p w:rsidR="003D1743" w:rsidRPr="00D778C8" w:rsidRDefault="003D1743" w:rsidP="003D1743">
      <w:pPr>
        <w:ind w:firstLine="709"/>
        <w:jc w:val="right"/>
        <w:rPr>
          <w:rFonts w:ascii="Arial" w:hAnsi="Arial"/>
          <w:sz w:val="22"/>
        </w:rPr>
      </w:pPr>
    </w:p>
    <w:tbl>
      <w:tblPr>
        <w:tblStyle w:val="a3"/>
        <w:tblW w:w="0" w:type="auto"/>
        <w:tblInd w:w="959" w:type="dxa"/>
        <w:tblLook w:val="04A0" w:firstRow="1" w:lastRow="0" w:firstColumn="1" w:lastColumn="0" w:noHBand="0" w:noVBand="1"/>
      </w:tblPr>
      <w:tblGrid>
        <w:gridCol w:w="6804"/>
        <w:gridCol w:w="1417"/>
      </w:tblGrid>
      <w:tr w:rsidR="003D1743" w:rsidRPr="007A5708" w:rsidTr="00073C55">
        <w:tc>
          <w:tcPr>
            <w:tcW w:w="6804" w:type="dxa"/>
          </w:tcPr>
          <w:p w:rsidR="003D1743" w:rsidRPr="007A5708" w:rsidRDefault="003D1743" w:rsidP="00073C55">
            <w:pPr>
              <w:jc w:val="both"/>
              <w:rPr>
                <w:rFonts w:ascii="Arial" w:hAnsi="Arial"/>
                <w:sz w:val="22"/>
              </w:rPr>
            </w:pPr>
            <w:r w:rsidRPr="007A5708">
              <w:rPr>
                <w:rFonts w:ascii="Arial" w:hAnsi="Arial"/>
                <w:sz w:val="22"/>
              </w:rPr>
              <w:t>на переход из ПФР в НПФ</w:t>
            </w:r>
          </w:p>
        </w:tc>
        <w:tc>
          <w:tcPr>
            <w:tcW w:w="1417" w:type="dxa"/>
          </w:tcPr>
          <w:p w:rsidR="003D1743" w:rsidRPr="007A5708" w:rsidRDefault="003D1743" w:rsidP="00073C55">
            <w:pPr>
              <w:jc w:val="both"/>
              <w:rPr>
                <w:rFonts w:ascii="Arial" w:hAnsi="Arial"/>
                <w:sz w:val="22"/>
              </w:rPr>
            </w:pPr>
            <w:r w:rsidRPr="007A5708">
              <w:rPr>
                <w:rFonts w:ascii="Arial" w:hAnsi="Arial"/>
                <w:sz w:val="22"/>
              </w:rPr>
              <w:t>17,78%</w:t>
            </w:r>
          </w:p>
        </w:tc>
      </w:tr>
      <w:tr w:rsidR="003D1743" w:rsidRPr="007A5708" w:rsidTr="00073C55">
        <w:tc>
          <w:tcPr>
            <w:tcW w:w="6804" w:type="dxa"/>
          </w:tcPr>
          <w:p w:rsidR="003D1743" w:rsidRPr="007A5708" w:rsidRDefault="003D1743" w:rsidP="00073C55">
            <w:pPr>
              <w:jc w:val="both"/>
              <w:rPr>
                <w:rFonts w:ascii="Arial" w:hAnsi="Arial"/>
                <w:sz w:val="22"/>
              </w:rPr>
            </w:pPr>
            <w:r w:rsidRPr="007A5708">
              <w:rPr>
                <w:rFonts w:ascii="Arial" w:hAnsi="Arial"/>
                <w:sz w:val="22"/>
              </w:rPr>
              <w:t>на переход из одного НПФ в другой</w:t>
            </w:r>
          </w:p>
        </w:tc>
        <w:tc>
          <w:tcPr>
            <w:tcW w:w="1417" w:type="dxa"/>
          </w:tcPr>
          <w:p w:rsidR="003D1743" w:rsidRPr="007A5708" w:rsidRDefault="003D1743" w:rsidP="00073C55">
            <w:pPr>
              <w:jc w:val="both"/>
              <w:rPr>
                <w:rFonts w:ascii="Arial" w:hAnsi="Arial"/>
                <w:sz w:val="22"/>
              </w:rPr>
            </w:pPr>
            <w:r w:rsidRPr="007A5708">
              <w:rPr>
                <w:rFonts w:ascii="Arial" w:hAnsi="Arial"/>
                <w:sz w:val="22"/>
              </w:rPr>
              <w:t>20,19%</w:t>
            </w:r>
          </w:p>
        </w:tc>
      </w:tr>
      <w:tr w:rsidR="003D1743" w:rsidRPr="007A5708" w:rsidTr="00073C55">
        <w:tc>
          <w:tcPr>
            <w:tcW w:w="6804" w:type="dxa"/>
          </w:tcPr>
          <w:p w:rsidR="003D1743" w:rsidRPr="007A5708" w:rsidRDefault="003D1743" w:rsidP="00073C55">
            <w:pPr>
              <w:jc w:val="both"/>
              <w:rPr>
                <w:rFonts w:ascii="Arial" w:hAnsi="Arial"/>
                <w:sz w:val="22"/>
              </w:rPr>
            </w:pPr>
            <w:r w:rsidRPr="007A5708">
              <w:rPr>
                <w:rFonts w:ascii="Arial" w:hAnsi="Arial"/>
                <w:sz w:val="22"/>
              </w:rPr>
              <w:t xml:space="preserve">на возврат из НПФ в ПФР </w:t>
            </w:r>
          </w:p>
        </w:tc>
        <w:tc>
          <w:tcPr>
            <w:tcW w:w="1417" w:type="dxa"/>
          </w:tcPr>
          <w:p w:rsidR="003D1743" w:rsidRPr="007A5708" w:rsidRDefault="003D1743" w:rsidP="00073C55">
            <w:pPr>
              <w:jc w:val="both"/>
              <w:rPr>
                <w:rFonts w:ascii="Arial" w:hAnsi="Arial"/>
                <w:sz w:val="22"/>
              </w:rPr>
            </w:pPr>
            <w:r w:rsidRPr="007A5708">
              <w:rPr>
                <w:rFonts w:ascii="Arial" w:hAnsi="Arial"/>
                <w:sz w:val="22"/>
              </w:rPr>
              <w:t>23,25%</w:t>
            </w:r>
          </w:p>
        </w:tc>
      </w:tr>
      <w:tr w:rsidR="003D1743" w:rsidRPr="007A5708" w:rsidTr="00073C55">
        <w:tc>
          <w:tcPr>
            <w:tcW w:w="6804" w:type="dxa"/>
          </w:tcPr>
          <w:p w:rsidR="003D1743" w:rsidRPr="007A5708" w:rsidRDefault="003D1743" w:rsidP="00073C55">
            <w:pPr>
              <w:jc w:val="both"/>
              <w:rPr>
                <w:rFonts w:ascii="Arial" w:hAnsi="Arial"/>
                <w:sz w:val="22"/>
              </w:rPr>
            </w:pPr>
            <w:r w:rsidRPr="007A5708">
              <w:rPr>
                <w:rFonts w:ascii="Arial" w:hAnsi="Arial"/>
                <w:sz w:val="22"/>
              </w:rPr>
              <w:t>на выбор инвестиционного портфеля (УК)</w:t>
            </w:r>
          </w:p>
        </w:tc>
        <w:tc>
          <w:tcPr>
            <w:tcW w:w="1417" w:type="dxa"/>
          </w:tcPr>
          <w:p w:rsidR="003D1743" w:rsidRPr="007A5708" w:rsidRDefault="003D1743" w:rsidP="00073C55">
            <w:pPr>
              <w:jc w:val="both"/>
              <w:rPr>
                <w:rFonts w:ascii="Arial" w:hAnsi="Arial"/>
                <w:sz w:val="22"/>
              </w:rPr>
            </w:pPr>
            <w:r w:rsidRPr="007A5708">
              <w:rPr>
                <w:rFonts w:ascii="Arial" w:hAnsi="Arial"/>
                <w:sz w:val="22"/>
              </w:rPr>
              <w:t>32,56%,</w:t>
            </w:r>
          </w:p>
        </w:tc>
      </w:tr>
    </w:tbl>
    <w:p w:rsidR="003D1743" w:rsidRDefault="003D1743" w:rsidP="003D1743">
      <w:pPr>
        <w:ind w:firstLine="709"/>
        <w:jc w:val="both"/>
        <w:rPr>
          <w:rFonts w:ascii="Arial" w:hAnsi="Arial"/>
          <w:sz w:val="22"/>
        </w:rPr>
      </w:pPr>
    </w:p>
    <w:p w:rsidR="003D1743" w:rsidRPr="00D778C8" w:rsidRDefault="003D1743" w:rsidP="003D1743">
      <w:pPr>
        <w:ind w:firstLine="709"/>
        <w:jc w:val="both"/>
        <w:rPr>
          <w:rFonts w:ascii="Arial" w:hAnsi="Arial"/>
          <w:sz w:val="22"/>
        </w:rPr>
      </w:pPr>
      <w:r w:rsidRPr="00D778C8">
        <w:rPr>
          <w:rFonts w:ascii="Arial" w:hAnsi="Arial"/>
          <w:sz w:val="22"/>
        </w:rPr>
        <w:t>Как видим</w:t>
      </w:r>
      <w:r>
        <w:rPr>
          <w:rFonts w:ascii="Arial" w:hAnsi="Arial"/>
          <w:sz w:val="22"/>
        </w:rPr>
        <w:t>,</w:t>
      </w:r>
      <w:r w:rsidRPr="00D778C8">
        <w:rPr>
          <w:rFonts w:ascii="Arial" w:hAnsi="Arial"/>
          <w:sz w:val="22"/>
        </w:rPr>
        <w:t xml:space="preserve"> </w:t>
      </w:r>
      <w:r w:rsidRPr="00954918">
        <w:rPr>
          <w:rFonts w:ascii="Arial" w:hAnsi="Arial"/>
          <w:sz w:val="22"/>
        </w:rPr>
        <w:t>наибольший процент отказов</w:t>
      </w:r>
      <w:r w:rsidR="00674483">
        <w:rPr>
          <w:rFonts w:ascii="Arial" w:hAnsi="Arial"/>
          <w:sz w:val="22"/>
        </w:rPr>
        <w:t>,</w:t>
      </w:r>
      <w:r w:rsidRPr="00954918">
        <w:rPr>
          <w:rFonts w:ascii="Arial" w:hAnsi="Arial"/>
          <w:sz w:val="22"/>
        </w:rPr>
        <w:t xml:space="preserve"> </w:t>
      </w:r>
      <w:r w:rsidR="00674483" w:rsidRPr="00674483">
        <w:rPr>
          <w:rFonts w:ascii="Arial" w:hAnsi="Arial"/>
          <w:sz w:val="22"/>
        </w:rPr>
        <w:t>несмотря на их относительно небольшое количество (2,89% от общего числа заявлений)</w:t>
      </w:r>
      <w:r w:rsidR="00674483">
        <w:rPr>
          <w:rFonts w:ascii="Arial" w:hAnsi="Arial"/>
          <w:sz w:val="22"/>
        </w:rPr>
        <w:t xml:space="preserve">, </w:t>
      </w:r>
      <w:r w:rsidRPr="00954918">
        <w:rPr>
          <w:rFonts w:ascii="Arial" w:hAnsi="Arial"/>
          <w:sz w:val="22"/>
        </w:rPr>
        <w:t xml:space="preserve">приходится </w:t>
      </w:r>
      <w:r w:rsidRPr="00D778C8">
        <w:rPr>
          <w:rFonts w:ascii="Arial" w:hAnsi="Arial"/>
          <w:sz w:val="22"/>
        </w:rPr>
        <w:t xml:space="preserve">именно </w:t>
      </w:r>
      <w:r>
        <w:rPr>
          <w:rFonts w:ascii="Arial" w:hAnsi="Arial"/>
          <w:sz w:val="22"/>
        </w:rPr>
        <w:t>на</w:t>
      </w:r>
      <w:r w:rsidRPr="00D778C8">
        <w:rPr>
          <w:rFonts w:ascii="Arial" w:hAnsi="Arial"/>
          <w:sz w:val="22"/>
        </w:rPr>
        <w:t xml:space="preserve"> заявления </w:t>
      </w:r>
      <w:r>
        <w:rPr>
          <w:rFonts w:ascii="Arial" w:hAnsi="Arial"/>
          <w:sz w:val="22"/>
        </w:rPr>
        <w:t>о</w:t>
      </w:r>
      <w:r w:rsidRPr="00D778C8">
        <w:rPr>
          <w:rFonts w:ascii="Arial" w:hAnsi="Arial"/>
          <w:sz w:val="22"/>
        </w:rPr>
        <w:t xml:space="preserve"> возврат</w:t>
      </w:r>
      <w:r>
        <w:rPr>
          <w:rFonts w:ascii="Arial" w:hAnsi="Arial"/>
          <w:sz w:val="22"/>
        </w:rPr>
        <w:t>е</w:t>
      </w:r>
      <w:r w:rsidRPr="00D778C8">
        <w:rPr>
          <w:rFonts w:ascii="Arial" w:hAnsi="Arial"/>
          <w:sz w:val="22"/>
        </w:rPr>
        <w:t xml:space="preserve"> из НПФ в ПФР и </w:t>
      </w:r>
      <w:r>
        <w:rPr>
          <w:rFonts w:ascii="Arial" w:hAnsi="Arial"/>
          <w:sz w:val="22"/>
        </w:rPr>
        <w:t>о</w:t>
      </w:r>
      <w:r w:rsidRPr="00D778C8">
        <w:rPr>
          <w:rFonts w:ascii="Arial" w:hAnsi="Arial"/>
          <w:sz w:val="22"/>
        </w:rPr>
        <w:t xml:space="preserve"> выбор</w:t>
      </w:r>
      <w:r>
        <w:rPr>
          <w:rFonts w:ascii="Arial" w:hAnsi="Arial"/>
          <w:sz w:val="22"/>
        </w:rPr>
        <w:t>е</w:t>
      </w:r>
      <w:r w:rsidRPr="00D778C8">
        <w:rPr>
          <w:rFonts w:ascii="Arial" w:hAnsi="Arial"/>
          <w:sz w:val="22"/>
        </w:rPr>
        <w:t xml:space="preserve"> инвестиционного портфеля (УК), оформление которых осуществляют почти исключительно отделения Пенсионного фонда России</w:t>
      </w:r>
      <w:r>
        <w:rPr>
          <w:rFonts w:ascii="Arial" w:hAnsi="Arial"/>
          <w:sz w:val="22"/>
        </w:rPr>
        <w:t>.</w:t>
      </w:r>
      <w:r w:rsidRPr="00D778C8">
        <w:rPr>
          <w:rFonts w:ascii="Arial" w:hAnsi="Arial"/>
          <w:sz w:val="22"/>
        </w:rPr>
        <w:t xml:space="preserve"> </w:t>
      </w:r>
    </w:p>
    <w:p w:rsidR="00BE159C" w:rsidRDefault="00C01E34" w:rsidP="00C01E34">
      <w:pPr>
        <w:ind w:firstLine="709"/>
        <w:jc w:val="both"/>
        <w:rPr>
          <w:rFonts w:ascii="Arial" w:hAnsi="Arial"/>
          <w:sz w:val="22"/>
        </w:rPr>
      </w:pPr>
      <w:r w:rsidRPr="00C01E34">
        <w:rPr>
          <w:rFonts w:ascii="Arial" w:hAnsi="Arial"/>
          <w:sz w:val="22"/>
        </w:rPr>
        <w:t>Трансфер</w:t>
      </w:r>
      <w:r w:rsidR="00BE159C">
        <w:rPr>
          <w:rFonts w:ascii="Arial" w:hAnsi="Arial"/>
          <w:sz w:val="22"/>
        </w:rPr>
        <w:t>-</w:t>
      </w:r>
      <w:r w:rsidRPr="00C01E34">
        <w:rPr>
          <w:rFonts w:ascii="Arial" w:hAnsi="Arial"/>
          <w:sz w:val="22"/>
        </w:rPr>
        <w:t xml:space="preserve">агентские центры оформили практически все заявления о переходе из ПФР в НПФ (98,66%) и о переходе из одного НПФ в другой (97,96%). При этом процент отказов по этим заявлениям составил </w:t>
      </w:r>
      <w:r>
        <w:rPr>
          <w:rFonts w:ascii="Arial" w:hAnsi="Arial"/>
          <w:sz w:val="22"/>
        </w:rPr>
        <w:t xml:space="preserve">в 2010 году </w:t>
      </w:r>
      <w:r w:rsidRPr="00C01E34">
        <w:rPr>
          <w:rFonts w:ascii="Arial" w:hAnsi="Arial"/>
          <w:sz w:val="22"/>
        </w:rPr>
        <w:t>17,7% и 20,2% соответственно.</w:t>
      </w:r>
    </w:p>
    <w:p w:rsidR="00BE159C" w:rsidRDefault="00C01E34" w:rsidP="00C01E34">
      <w:pPr>
        <w:ind w:firstLine="709"/>
        <w:jc w:val="both"/>
        <w:rPr>
          <w:rFonts w:ascii="Arial" w:hAnsi="Arial"/>
          <w:sz w:val="22"/>
        </w:rPr>
      </w:pPr>
      <w:r w:rsidRPr="00C01E34">
        <w:rPr>
          <w:rFonts w:ascii="Arial" w:hAnsi="Arial"/>
          <w:sz w:val="22"/>
        </w:rPr>
        <w:t>Отделения Пенсионного фонда России  оформляли, в основном, заявления о выборе УК (95,02%) и заявления о переходе из НПФ в ПФР (94,86%). Процент отказов по этим заявлениям составил 32,6% и 23,2% соответственно</w:t>
      </w:r>
      <w:r>
        <w:rPr>
          <w:rFonts w:ascii="Arial" w:hAnsi="Arial"/>
          <w:sz w:val="22"/>
        </w:rPr>
        <w:t xml:space="preserve"> при </w:t>
      </w:r>
      <w:r w:rsidRPr="00C01E34">
        <w:rPr>
          <w:rFonts w:ascii="Arial" w:hAnsi="Arial"/>
          <w:sz w:val="22"/>
        </w:rPr>
        <w:t>средн</w:t>
      </w:r>
      <w:r>
        <w:rPr>
          <w:rFonts w:ascii="Arial" w:hAnsi="Arial"/>
          <w:sz w:val="22"/>
        </w:rPr>
        <w:t>ем</w:t>
      </w:r>
      <w:r w:rsidRPr="00C01E34">
        <w:rPr>
          <w:rFonts w:ascii="Arial" w:hAnsi="Arial"/>
          <w:sz w:val="22"/>
        </w:rPr>
        <w:t xml:space="preserve"> процент</w:t>
      </w:r>
      <w:r>
        <w:rPr>
          <w:rFonts w:ascii="Arial" w:hAnsi="Arial"/>
          <w:sz w:val="22"/>
        </w:rPr>
        <w:t>е</w:t>
      </w:r>
      <w:r w:rsidRPr="00C01E34">
        <w:rPr>
          <w:rFonts w:ascii="Arial" w:hAnsi="Arial"/>
          <w:sz w:val="22"/>
        </w:rPr>
        <w:t xml:space="preserve"> отказа в удовлетворении заявлений в 2010 году 18,22%, в 2011 году – </w:t>
      </w:r>
      <w:r>
        <w:rPr>
          <w:rFonts w:ascii="Arial" w:hAnsi="Arial"/>
          <w:sz w:val="22"/>
        </w:rPr>
        <w:t>19,1</w:t>
      </w:r>
      <w:r w:rsidRPr="00C01E34">
        <w:rPr>
          <w:rFonts w:ascii="Arial" w:hAnsi="Arial"/>
          <w:sz w:val="22"/>
        </w:rPr>
        <w:t>%.</w:t>
      </w:r>
      <w:r>
        <w:rPr>
          <w:rFonts w:ascii="Arial" w:hAnsi="Arial"/>
          <w:sz w:val="22"/>
        </w:rPr>
        <w:t xml:space="preserve"> </w:t>
      </w:r>
    </w:p>
    <w:p w:rsidR="00CC4F2E" w:rsidRDefault="00CC4F2E" w:rsidP="00C01E34">
      <w:pPr>
        <w:ind w:firstLine="709"/>
        <w:jc w:val="both"/>
        <w:rPr>
          <w:rFonts w:ascii="Arial" w:hAnsi="Arial"/>
          <w:sz w:val="22"/>
        </w:rPr>
      </w:pPr>
      <w:r w:rsidRPr="00CC4F2E">
        <w:rPr>
          <w:rFonts w:ascii="Arial" w:hAnsi="Arial"/>
          <w:sz w:val="22"/>
        </w:rPr>
        <w:lastRenderedPageBreak/>
        <w:t>Таким образом, трансфер</w:t>
      </w:r>
      <w:r w:rsidR="00BE159C">
        <w:rPr>
          <w:rFonts w:ascii="Arial" w:hAnsi="Arial"/>
          <w:sz w:val="22"/>
        </w:rPr>
        <w:t>-</w:t>
      </w:r>
      <w:r w:rsidRPr="00CC4F2E">
        <w:rPr>
          <w:rFonts w:ascii="Arial" w:hAnsi="Arial"/>
          <w:sz w:val="22"/>
        </w:rPr>
        <w:t>агентские центры не только выполняют практически всю работу по реализации прав застрахованных лиц, но и делают это качественнее, чем отделения Пенсионного фонда России.</w:t>
      </w:r>
    </w:p>
    <w:p w:rsidR="00F472E7" w:rsidRDefault="00F472E7" w:rsidP="00C01E34">
      <w:pPr>
        <w:ind w:firstLine="709"/>
        <w:jc w:val="both"/>
        <w:rPr>
          <w:rFonts w:ascii="Arial" w:hAnsi="Arial"/>
          <w:sz w:val="22"/>
        </w:rPr>
      </w:pP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В 2012 году наибольшее количество отказов – 1,43 млн. (58% от общего количества) – приходится на заявления, в которых неверно указан страховщик, от которого гражданин пожелал перевести свои пенсионные накопления. К примеру, в заявлении указано, что гражданин просит перевести пенсионные накопления из ПФР, в то время как его пенсионные накопления уже формируются в НПФ.</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Не удовлетворены 300 тысяч заявлений (12,1%) на перевод пенсионных накоплений граждан в НПФ, которые поступили без договоров ОПС</w:t>
      </w:r>
      <w:r w:rsidR="002F2138">
        <w:rPr>
          <w:rFonts w:ascii="Arial" w:hAnsi="Arial"/>
          <w:sz w:val="22"/>
        </w:rPr>
        <w:t>.</w:t>
      </w:r>
      <w:r w:rsidRPr="00674483">
        <w:rPr>
          <w:rFonts w:ascii="Arial" w:hAnsi="Arial"/>
          <w:sz w:val="22"/>
        </w:rPr>
        <w:t xml:space="preserve"> </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 xml:space="preserve">420 тыс. заявлений (17%) не были удовлетворены, поскольку после них </w:t>
      </w:r>
      <w:r w:rsidR="002F2138" w:rsidRPr="002F2138">
        <w:rPr>
          <w:rFonts w:ascii="Arial" w:hAnsi="Arial"/>
          <w:sz w:val="22"/>
        </w:rPr>
        <w:t xml:space="preserve">от этих же граждан </w:t>
      </w:r>
      <w:r w:rsidRPr="00674483">
        <w:rPr>
          <w:rFonts w:ascii="Arial" w:hAnsi="Arial"/>
          <w:sz w:val="22"/>
        </w:rPr>
        <w:t>были поданы более поздние заявления, а также почти 30 тыс. заявлений</w:t>
      </w:r>
      <w:r w:rsidR="002F2138">
        <w:rPr>
          <w:rFonts w:ascii="Arial" w:hAnsi="Arial"/>
          <w:sz w:val="22"/>
        </w:rPr>
        <w:t xml:space="preserve"> </w:t>
      </w:r>
      <w:r w:rsidR="002F2138" w:rsidRPr="002F2138">
        <w:rPr>
          <w:rFonts w:ascii="Arial" w:hAnsi="Arial"/>
          <w:sz w:val="22"/>
        </w:rPr>
        <w:t>не были удовлетворены</w:t>
      </w:r>
      <w:r w:rsidRPr="00674483">
        <w:rPr>
          <w:rFonts w:ascii="Arial" w:hAnsi="Arial"/>
          <w:sz w:val="22"/>
        </w:rPr>
        <w:t xml:space="preserve">, </w:t>
      </w:r>
      <w:r w:rsidR="002F2138">
        <w:rPr>
          <w:rFonts w:ascii="Arial" w:hAnsi="Arial"/>
          <w:sz w:val="22"/>
        </w:rPr>
        <w:t xml:space="preserve">поскольку были </w:t>
      </w:r>
      <w:r w:rsidRPr="00674483">
        <w:rPr>
          <w:rFonts w:ascii="Arial" w:hAnsi="Arial"/>
          <w:sz w:val="22"/>
        </w:rPr>
        <w:t>поданы в один и тот же день.</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Напомним, по закону гражданин в течение года может написать несколько заявлений о выборе УК или НПФ. Пенсионный фонд удовлетворяет правильно заполненное заявление, поданное в текущем году последним. По всем написанным ранее заявлениям выносится отрицательное решение.</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К другим причинам отказа в переводе пенсионных накоплений отн</w:t>
      </w:r>
      <w:r w:rsidR="002F2138">
        <w:rPr>
          <w:rFonts w:ascii="Arial" w:hAnsi="Arial"/>
          <w:sz w:val="22"/>
        </w:rPr>
        <w:t>осятся</w:t>
      </w:r>
      <w:r w:rsidRPr="00674483">
        <w:rPr>
          <w:rFonts w:ascii="Arial" w:hAnsi="Arial"/>
          <w:sz w:val="22"/>
        </w:rPr>
        <w:t>:</w:t>
      </w:r>
    </w:p>
    <w:p w:rsidR="00674483" w:rsidRPr="002F2138" w:rsidRDefault="002F2138" w:rsidP="002F2138">
      <w:pPr>
        <w:pStyle w:val="a7"/>
        <w:numPr>
          <w:ilvl w:val="0"/>
          <w:numId w:val="4"/>
        </w:numPr>
        <w:autoSpaceDE w:val="0"/>
        <w:autoSpaceDN w:val="0"/>
        <w:adjustRightInd w:val="0"/>
        <w:jc w:val="both"/>
        <w:rPr>
          <w:rFonts w:ascii="Arial" w:hAnsi="Arial"/>
          <w:sz w:val="22"/>
        </w:rPr>
      </w:pPr>
      <w:r w:rsidRPr="002F2138">
        <w:rPr>
          <w:rFonts w:ascii="Arial" w:hAnsi="Arial"/>
          <w:sz w:val="22"/>
        </w:rPr>
        <w:t xml:space="preserve">на момент подачи заявления о переходе в фонд </w:t>
      </w:r>
      <w:r>
        <w:rPr>
          <w:rFonts w:ascii="Arial" w:hAnsi="Arial"/>
          <w:sz w:val="22"/>
        </w:rPr>
        <w:t xml:space="preserve">у него </w:t>
      </w:r>
      <w:r w:rsidR="00674483" w:rsidRPr="002F2138">
        <w:rPr>
          <w:rFonts w:ascii="Arial" w:hAnsi="Arial"/>
          <w:sz w:val="22"/>
        </w:rPr>
        <w:t>аннулирован</w:t>
      </w:r>
      <w:r>
        <w:rPr>
          <w:rFonts w:ascii="Arial" w:hAnsi="Arial"/>
          <w:sz w:val="22"/>
        </w:rPr>
        <w:t>а</w:t>
      </w:r>
      <w:r w:rsidR="00674483" w:rsidRPr="002F2138">
        <w:rPr>
          <w:rFonts w:ascii="Arial" w:hAnsi="Arial"/>
          <w:sz w:val="22"/>
        </w:rPr>
        <w:t xml:space="preserve"> лицензи</w:t>
      </w:r>
      <w:r>
        <w:rPr>
          <w:rFonts w:ascii="Arial" w:hAnsi="Arial"/>
          <w:sz w:val="22"/>
        </w:rPr>
        <w:t>я;</w:t>
      </w:r>
      <w:r w:rsidR="00674483" w:rsidRPr="002F2138">
        <w:rPr>
          <w:rFonts w:ascii="Arial" w:hAnsi="Arial"/>
          <w:sz w:val="22"/>
        </w:rPr>
        <w:t xml:space="preserve"> </w:t>
      </w:r>
    </w:p>
    <w:p w:rsidR="00674483" w:rsidRPr="002F2138" w:rsidRDefault="00674483" w:rsidP="00080C6F">
      <w:pPr>
        <w:pStyle w:val="a7"/>
        <w:numPr>
          <w:ilvl w:val="0"/>
          <w:numId w:val="4"/>
        </w:numPr>
        <w:autoSpaceDE w:val="0"/>
        <w:autoSpaceDN w:val="0"/>
        <w:adjustRightInd w:val="0"/>
        <w:jc w:val="both"/>
        <w:rPr>
          <w:rFonts w:ascii="Arial" w:hAnsi="Arial"/>
          <w:sz w:val="22"/>
        </w:rPr>
      </w:pPr>
      <w:r w:rsidRPr="002F2138">
        <w:rPr>
          <w:rFonts w:ascii="Arial" w:hAnsi="Arial"/>
          <w:sz w:val="22"/>
        </w:rPr>
        <w:t xml:space="preserve">договор ОПС </w:t>
      </w:r>
      <w:r w:rsidR="00080C6F" w:rsidRPr="00080C6F">
        <w:rPr>
          <w:rFonts w:ascii="Arial" w:hAnsi="Arial"/>
          <w:sz w:val="22"/>
        </w:rPr>
        <w:t>от</w:t>
      </w:r>
      <w:r w:rsidR="00080C6F">
        <w:rPr>
          <w:rFonts w:ascii="Arial" w:hAnsi="Arial"/>
          <w:sz w:val="22"/>
        </w:rPr>
        <w:t>о</w:t>
      </w:r>
      <w:r w:rsidR="00080C6F" w:rsidRPr="00080C6F">
        <w:rPr>
          <w:rFonts w:ascii="Arial" w:hAnsi="Arial"/>
          <w:sz w:val="22"/>
        </w:rPr>
        <w:t>з</w:t>
      </w:r>
      <w:r w:rsidR="00080C6F">
        <w:rPr>
          <w:rFonts w:ascii="Arial" w:hAnsi="Arial"/>
          <w:sz w:val="22"/>
        </w:rPr>
        <w:t>ван</w:t>
      </w:r>
      <w:r w:rsidR="00080C6F" w:rsidRPr="00080C6F">
        <w:rPr>
          <w:rFonts w:ascii="Arial" w:hAnsi="Arial"/>
          <w:sz w:val="22"/>
        </w:rPr>
        <w:t xml:space="preserve"> </w:t>
      </w:r>
      <w:r w:rsidRPr="002F2138">
        <w:rPr>
          <w:rFonts w:ascii="Arial" w:hAnsi="Arial"/>
          <w:sz w:val="22"/>
        </w:rPr>
        <w:t xml:space="preserve">по инициативе НПФ в связи с признанием </w:t>
      </w:r>
      <w:r w:rsidR="00080C6F">
        <w:rPr>
          <w:rFonts w:ascii="Arial" w:hAnsi="Arial"/>
          <w:sz w:val="22"/>
        </w:rPr>
        <w:t>его</w:t>
      </w:r>
      <w:r w:rsidRPr="002F2138">
        <w:rPr>
          <w:rFonts w:ascii="Arial" w:hAnsi="Arial"/>
          <w:sz w:val="22"/>
        </w:rPr>
        <w:t xml:space="preserve"> заключенными с признаками мошеннических действий</w:t>
      </w:r>
      <w:r w:rsidR="00080C6F">
        <w:rPr>
          <w:rFonts w:ascii="Arial" w:hAnsi="Arial"/>
          <w:sz w:val="22"/>
        </w:rPr>
        <w:t>;</w:t>
      </w:r>
      <w:r w:rsidRPr="002F2138">
        <w:rPr>
          <w:rFonts w:ascii="Arial" w:hAnsi="Arial"/>
          <w:sz w:val="22"/>
        </w:rPr>
        <w:t xml:space="preserve"> </w:t>
      </w:r>
    </w:p>
    <w:p w:rsidR="00674483" w:rsidRPr="002F2138" w:rsidRDefault="00674483" w:rsidP="00080C6F">
      <w:pPr>
        <w:pStyle w:val="a7"/>
        <w:numPr>
          <w:ilvl w:val="0"/>
          <w:numId w:val="4"/>
        </w:numPr>
        <w:autoSpaceDE w:val="0"/>
        <w:autoSpaceDN w:val="0"/>
        <w:adjustRightInd w:val="0"/>
        <w:jc w:val="both"/>
        <w:rPr>
          <w:rFonts w:ascii="Arial" w:hAnsi="Arial"/>
          <w:sz w:val="22"/>
        </w:rPr>
      </w:pPr>
      <w:r w:rsidRPr="002F2138">
        <w:rPr>
          <w:rFonts w:ascii="Arial" w:hAnsi="Arial"/>
          <w:sz w:val="22"/>
        </w:rPr>
        <w:t xml:space="preserve">при заполнении заявления </w:t>
      </w:r>
      <w:r w:rsidR="00080C6F">
        <w:rPr>
          <w:rFonts w:ascii="Arial" w:hAnsi="Arial"/>
          <w:sz w:val="22"/>
        </w:rPr>
        <w:t xml:space="preserve">допущены </w:t>
      </w:r>
      <w:r w:rsidR="00080C6F" w:rsidRPr="00080C6F">
        <w:rPr>
          <w:rFonts w:ascii="Arial" w:hAnsi="Arial"/>
          <w:sz w:val="22"/>
        </w:rPr>
        <w:t xml:space="preserve">ошибки </w:t>
      </w:r>
      <w:r w:rsidRPr="002F2138">
        <w:rPr>
          <w:rFonts w:ascii="Arial" w:hAnsi="Arial"/>
          <w:sz w:val="22"/>
        </w:rPr>
        <w:t>(</w:t>
      </w:r>
      <w:r w:rsidR="00080C6F">
        <w:rPr>
          <w:rFonts w:ascii="Arial" w:hAnsi="Arial"/>
          <w:sz w:val="22"/>
        </w:rPr>
        <w:t xml:space="preserve">например, </w:t>
      </w:r>
      <w:r w:rsidRPr="002F2138">
        <w:rPr>
          <w:rFonts w:ascii="Arial" w:hAnsi="Arial"/>
          <w:sz w:val="22"/>
        </w:rPr>
        <w:t xml:space="preserve">несоответствие СНИЛС в заявлении и договоре ОПС). </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 xml:space="preserve">В связи с вступлением в силу Федерального закона от 30 ноября 2011 г. № 360-ФЗ  «О порядке финансирования выплат за счет средств пенсионных накоплений» в переходной кампании 2012 года появилась новая причина отказа, когда гражданин обращается с заявлением на перевод его пенсионных накоплений другому страховщику в то время как ему уже установлена выплата накопительной части трудовой пенсии, срочная пенсионная выплата или единовременная выплата. </w:t>
      </w:r>
    </w:p>
    <w:p w:rsidR="00674483" w:rsidRDefault="00674483" w:rsidP="00674483">
      <w:pPr>
        <w:autoSpaceDE w:val="0"/>
        <w:autoSpaceDN w:val="0"/>
        <w:adjustRightInd w:val="0"/>
        <w:ind w:firstLine="720"/>
        <w:jc w:val="both"/>
        <w:rPr>
          <w:rFonts w:ascii="Arial" w:hAnsi="Arial"/>
          <w:sz w:val="22"/>
        </w:rPr>
      </w:pPr>
      <w:r w:rsidRPr="00674483">
        <w:rPr>
          <w:rFonts w:ascii="Arial" w:hAnsi="Arial"/>
          <w:sz w:val="22"/>
        </w:rPr>
        <w:t xml:space="preserve">Сравнение причин отказов в 2012 году с предыдущими годами приведено в таблице </w:t>
      </w:r>
      <w:r w:rsidR="00080C6F">
        <w:rPr>
          <w:rFonts w:ascii="Arial" w:hAnsi="Arial"/>
          <w:sz w:val="22"/>
        </w:rPr>
        <w:t>7.</w:t>
      </w:r>
    </w:p>
    <w:p w:rsidR="00674483" w:rsidRPr="00674483" w:rsidRDefault="00674483" w:rsidP="00674483">
      <w:pPr>
        <w:autoSpaceDE w:val="0"/>
        <w:autoSpaceDN w:val="0"/>
        <w:adjustRightInd w:val="0"/>
        <w:ind w:firstLine="720"/>
        <w:jc w:val="both"/>
        <w:rPr>
          <w:rFonts w:ascii="Arial" w:hAnsi="Arial"/>
          <w:sz w:val="22"/>
        </w:rPr>
      </w:pPr>
    </w:p>
    <w:p w:rsidR="00674483" w:rsidRDefault="00674483" w:rsidP="00674483">
      <w:pPr>
        <w:ind w:firstLine="709"/>
        <w:jc w:val="right"/>
        <w:rPr>
          <w:rFonts w:ascii="Arial" w:hAnsi="Arial"/>
          <w:sz w:val="22"/>
        </w:rPr>
      </w:pPr>
      <w:r>
        <w:rPr>
          <w:rFonts w:ascii="Arial" w:hAnsi="Arial"/>
          <w:sz w:val="22"/>
        </w:rPr>
        <w:t xml:space="preserve">Таблица </w:t>
      </w:r>
      <w:r w:rsidR="00080C6F">
        <w:rPr>
          <w:rFonts w:ascii="Arial" w:hAnsi="Arial"/>
          <w:sz w:val="22"/>
        </w:rPr>
        <w:t>7</w:t>
      </w:r>
    </w:p>
    <w:p w:rsidR="00674483" w:rsidRDefault="00674483" w:rsidP="00674483">
      <w:pPr>
        <w:ind w:firstLine="709"/>
        <w:jc w:val="right"/>
        <w:rPr>
          <w:rFonts w:ascii="Arial" w:hAnsi="Arial"/>
          <w:sz w:val="22"/>
        </w:rPr>
      </w:pPr>
    </w:p>
    <w:tbl>
      <w:tblPr>
        <w:tblStyle w:val="a3"/>
        <w:tblW w:w="0" w:type="auto"/>
        <w:tblLook w:val="04A0" w:firstRow="1" w:lastRow="0" w:firstColumn="1" w:lastColumn="0" w:noHBand="0" w:noVBand="1"/>
      </w:tblPr>
      <w:tblGrid>
        <w:gridCol w:w="689"/>
        <w:gridCol w:w="4948"/>
        <w:gridCol w:w="1417"/>
        <w:gridCol w:w="1136"/>
        <w:gridCol w:w="1381"/>
      </w:tblGrid>
      <w:tr w:rsidR="00674483" w:rsidTr="00073C55">
        <w:tc>
          <w:tcPr>
            <w:tcW w:w="689" w:type="dxa"/>
            <w:vMerge w:val="restart"/>
          </w:tcPr>
          <w:p w:rsidR="00674483" w:rsidRDefault="00674483" w:rsidP="00073C55">
            <w:pPr>
              <w:jc w:val="center"/>
              <w:rPr>
                <w:rFonts w:ascii="Arial" w:hAnsi="Arial"/>
                <w:sz w:val="22"/>
              </w:rPr>
            </w:pPr>
            <w:r>
              <w:rPr>
                <w:rFonts w:ascii="Arial" w:hAnsi="Arial"/>
                <w:sz w:val="22"/>
              </w:rPr>
              <w:t>№№ пп</w:t>
            </w:r>
          </w:p>
        </w:tc>
        <w:tc>
          <w:tcPr>
            <w:tcW w:w="4948" w:type="dxa"/>
            <w:vMerge w:val="restart"/>
          </w:tcPr>
          <w:p w:rsidR="00674483" w:rsidRDefault="00674483" w:rsidP="00073C55">
            <w:pPr>
              <w:jc w:val="center"/>
              <w:rPr>
                <w:rFonts w:ascii="Arial" w:hAnsi="Arial"/>
                <w:sz w:val="22"/>
              </w:rPr>
            </w:pPr>
            <w:r>
              <w:rPr>
                <w:rFonts w:ascii="Arial" w:hAnsi="Arial"/>
                <w:sz w:val="22"/>
              </w:rPr>
              <w:t>Причина отказов</w:t>
            </w:r>
          </w:p>
        </w:tc>
        <w:tc>
          <w:tcPr>
            <w:tcW w:w="3934" w:type="dxa"/>
            <w:gridSpan w:val="3"/>
          </w:tcPr>
          <w:p w:rsidR="00674483" w:rsidRDefault="00674483" w:rsidP="00073C55">
            <w:pPr>
              <w:jc w:val="center"/>
              <w:rPr>
                <w:rFonts w:ascii="Arial" w:hAnsi="Arial"/>
                <w:sz w:val="22"/>
              </w:rPr>
            </w:pPr>
            <w:r>
              <w:rPr>
                <w:rFonts w:ascii="Arial" w:hAnsi="Arial"/>
                <w:sz w:val="22"/>
              </w:rPr>
              <w:t>Процент в общей сумме отказов</w:t>
            </w:r>
          </w:p>
        </w:tc>
      </w:tr>
      <w:tr w:rsidR="00674483" w:rsidTr="00073C55">
        <w:tc>
          <w:tcPr>
            <w:tcW w:w="689" w:type="dxa"/>
            <w:vMerge/>
          </w:tcPr>
          <w:p w:rsidR="00674483" w:rsidRDefault="00674483" w:rsidP="00073C55">
            <w:pPr>
              <w:jc w:val="center"/>
              <w:rPr>
                <w:rFonts w:ascii="Arial" w:hAnsi="Arial"/>
                <w:sz w:val="22"/>
              </w:rPr>
            </w:pPr>
          </w:p>
        </w:tc>
        <w:tc>
          <w:tcPr>
            <w:tcW w:w="4948" w:type="dxa"/>
            <w:vMerge/>
          </w:tcPr>
          <w:p w:rsidR="00674483" w:rsidRDefault="00674483" w:rsidP="00073C55">
            <w:pPr>
              <w:jc w:val="both"/>
              <w:rPr>
                <w:rFonts w:ascii="Arial" w:hAnsi="Arial"/>
                <w:sz w:val="22"/>
              </w:rPr>
            </w:pPr>
          </w:p>
        </w:tc>
        <w:tc>
          <w:tcPr>
            <w:tcW w:w="1417" w:type="dxa"/>
          </w:tcPr>
          <w:p w:rsidR="00674483" w:rsidRDefault="00674483" w:rsidP="00073C55">
            <w:pPr>
              <w:jc w:val="center"/>
              <w:rPr>
                <w:rFonts w:ascii="Arial" w:hAnsi="Arial"/>
                <w:sz w:val="22"/>
              </w:rPr>
            </w:pPr>
            <w:r>
              <w:rPr>
                <w:rFonts w:ascii="Arial" w:hAnsi="Arial"/>
                <w:sz w:val="22"/>
              </w:rPr>
              <w:t>2010 г.</w:t>
            </w:r>
          </w:p>
        </w:tc>
        <w:tc>
          <w:tcPr>
            <w:tcW w:w="1136" w:type="dxa"/>
          </w:tcPr>
          <w:p w:rsidR="00674483" w:rsidRDefault="00674483" w:rsidP="00073C55">
            <w:pPr>
              <w:jc w:val="center"/>
              <w:rPr>
                <w:rFonts w:ascii="Arial" w:hAnsi="Arial"/>
                <w:sz w:val="22"/>
              </w:rPr>
            </w:pPr>
            <w:r>
              <w:rPr>
                <w:rFonts w:ascii="Arial" w:hAnsi="Arial"/>
                <w:sz w:val="22"/>
              </w:rPr>
              <w:t>2011 г.</w:t>
            </w:r>
          </w:p>
        </w:tc>
        <w:tc>
          <w:tcPr>
            <w:tcW w:w="1381" w:type="dxa"/>
          </w:tcPr>
          <w:p w:rsidR="00674483" w:rsidRDefault="00674483" w:rsidP="00073C55">
            <w:pPr>
              <w:jc w:val="center"/>
              <w:rPr>
                <w:rFonts w:ascii="Arial" w:hAnsi="Arial"/>
                <w:sz w:val="22"/>
              </w:rPr>
            </w:pPr>
            <w:r>
              <w:rPr>
                <w:rFonts w:ascii="Arial" w:hAnsi="Arial"/>
                <w:sz w:val="22"/>
              </w:rPr>
              <w:t>2012 г.</w:t>
            </w:r>
          </w:p>
        </w:tc>
      </w:tr>
      <w:tr w:rsidR="00674483" w:rsidTr="00073C55">
        <w:tc>
          <w:tcPr>
            <w:tcW w:w="689" w:type="dxa"/>
          </w:tcPr>
          <w:p w:rsidR="00674483" w:rsidRDefault="00674483" w:rsidP="00073C55">
            <w:pPr>
              <w:jc w:val="center"/>
              <w:rPr>
                <w:rFonts w:ascii="Arial" w:hAnsi="Arial"/>
                <w:sz w:val="22"/>
              </w:rPr>
            </w:pPr>
            <w:r>
              <w:rPr>
                <w:rFonts w:ascii="Arial" w:hAnsi="Arial"/>
                <w:sz w:val="22"/>
              </w:rPr>
              <w:t>1.</w:t>
            </w:r>
          </w:p>
        </w:tc>
        <w:tc>
          <w:tcPr>
            <w:tcW w:w="4948" w:type="dxa"/>
          </w:tcPr>
          <w:p w:rsidR="00674483" w:rsidRDefault="00674483" w:rsidP="00073C55">
            <w:pPr>
              <w:jc w:val="both"/>
              <w:rPr>
                <w:rFonts w:ascii="Arial" w:hAnsi="Arial"/>
                <w:sz w:val="22"/>
              </w:rPr>
            </w:pPr>
            <w:r>
              <w:rPr>
                <w:rFonts w:ascii="Arial" w:hAnsi="Arial"/>
                <w:sz w:val="22"/>
              </w:rPr>
              <w:t>Неправильно указан страховщик по ОПС</w:t>
            </w:r>
          </w:p>
        </w:tc>
        <w:tc>
          <w:tcPr>
            <w:tcW w:w="1417" w:type="dxa"/>
          </w:tcPr>
          <w:p w:rsidR="00674483" w:rsidRDefault="00674483" w:rsidP="00073C55">
            <w:pPr>
              <w:jc w:val="center"/>
              <w:rPr>
                <w:rFonts w:ascii="Arial" w:hAnsi="Arial"/>
                <w:sz w:val="22"/>
              </w:rPr>
            </w:pPr>
            <w:r>
              <w:rPr>
                <w:rFonts w:ascii="Arial" w:hAnsi="Arial"/>
                <w:sz w:val="22"/>
              </w:rPr>
              <w:t>48,63%</w:t>
            </w:r>
          </w:p>
        </w:tc>
        <w:tc>
          <w:tcPr>
            <w:tcW w:w="1136" w:type="dxa"/>
          </w:tcPr>
          <w:p w:rsidR="00674483" w:rsidRDefault="00674483" w:rsidP="00073C55">
            <w:pPr>
              <w:jc w:val="center"/>
              <w:rPr>
                <w:rFonts w:ascii="Arial" w:hAnsi="Arial"/>
                <w:sz w:val="22"/>
              </w:rPr>
            </w:pPr>
            <w:r>
              <w:rPr>
                <w:rFonts w:ascii="Arial" w:hAnsi="Arial"/>
                <w:sz w:val="22"/>
              </w:rPr>
              <w:t>67%</w:t>
            </w:r>
          </w:p>
        </w:tc>
        <w:tc>
          <w:tcPr>
            <w:tcW w:w="1381" w:type="dxa"/>
          </w:tcPr>
          <w:p w:rsidR="00674483" w:rsidRDefault="00674483" w:rsidP="00073C55">
            <w:pPr>
              <w:jc w:val="center"/>
              <w:rPr>
                <w:rFonts w:ascii="Arial" w:hAnsi="Arial"/>
                <w:sz w:val="22"/>
              </w:rPr>
            </w:pPr>
            <w:r>
              <w:rPr>
                <w:rFonts w:ascii="Arial" w:hAnsi="Arial"/>
                <w:sz w:val="22"/>
              </w:rPr>
              <w:t>58%</w:t>
            </w:r>
          </w:p>
        </w:tc>
      </w:tr>
      <w:tr w:rsidR="00674483" w:rsidTr="00073C55">
        <w:tc>
          <w:tcPr>
            <w:tcW w:w="689" w:type="dxa"/>
          </w:tcPr>
          <w:p w:rsidR="00674483" w:rsidRDefault="00674483" w:rsidP="00073C55">
            <w:pPr>
              <w:jc w:val="center"/>
              <w:rPr>
                <w:rFonts w:ascii="Arial" w:hAnsi="Arial"/>
                <w:sz w:val="22"/>
              </w:rPr>
            </w:pPr>
            <w:r>
              <w:rPr>
                <w:rFonts w:ascii="Arial" w:hAnsi="Arial"/>
                <w:sz w:val="22"/>
              </w:rPr>
              <w:t>2.</w:t>
            </w:r>
          </w:p>
        </w:tc>
        <w:tc>
          <w:tcPr>
            <w:tcW w:w="4948" w:type="dxa"/>
          </w:tcPr>
          <w:p w:rsidR="00674483" w:rsidRDefault="00674483" w:rsidP="00073C55">
            <w:pPr>
              <w:jc w:val="both"/>
              <w:rPr>
                <w:rFonts w:ascii="Arial" w:hAnsi="Arial"/>
                <w:sz w:val="22"/>
              </w:rPr>
            </w:pPr>
            <w:r>
              <w:rPr>
                <w:rFonts w:ascii="Arial" w:hAnsi="Arial"/>
                <w:sz w:val="22"/>
              </w:rPr>
              <w:t>В ПФР не обнаружен договор об ОПС</w:t>
            </w:r>
          </w:p>
        </w:tc>
        <w:tc>
          <w:tcPr>
            <w:tcW w:w="1417" w:type="dxa"/>
          </w:tcPr>
          <w:p w:rsidR="00674483" w:rsidRDefault="00674483" w:rsidP="00073C55">
            <w:pPr>
              <w:jc w:val="center"/>
              <w:rPr>
                <w:rFonts w:ascii="Arial" w:hAnsi="Arial"/>
                <w:sz w:val="22"/>
              </w:rPr>
            </w:pPr>
            <w:r w:rsidRPr="001F20B4">
              <w:rPr>
                <w:rFonts w:ascii="Arial" w:hAnsi="Arial"/>
                <w:sz w:val="22"/>
              </w:rPr>
              <w:t>24,73%</w:t>
            </w:r>
          </w:p>
        </w:tc>
        <w:tc>
          <w:tcPr>
            <w:tcW w:w="1136" w:type="dxa"/>
          </w:tcPr>
          <w:p w:rsidR="00674483" w:rsidRDefault="00674483" w:rsidP="00073C55">
            <w:pPr>
              <w:jc w:val="center"/>
              <w:rPr>
                <w:rFonts w:ascii="Arial" w:hAnsi="Arial"/>
                <w:sz w:val="22"/>
              </w:rPr>
            </w:pPr>
            <w:r>
              <w:rPr>
                <w:rFonts w:ascii="Arial" w:hAnsi="Arial"/>
                <w:sz w:val="22"/>
              </w:rPr>
              <w:t>19,4%</w:t>
            </w:r>
          </w:p>
        </w:tc>
        <w:tc>
          <w:tcPr>
            <w:tcW w:w="1381" w:type="dxa"/>
          </w:tcPr>
          <w:p w:rsidR="00674483" w:rsidRDefault="00674483" w:rsidP="00073C55">
            <w:pPr>
              <w:jc w:val="center"/>
              <w:rPr>
                <w:rFonts w:ascii="Arial" w:hAnsi="Arial"/>
                <w:sz w:val="22"/>
              </w:rPr>
            </w:pPr>
            <w:r>
              <w:rPr>
                <w:rFonts w:ascii="Arial" w:hAnsi="Arial"/>
                <w:sz w:val="22"/>
              </w:rPr>
              <w:t>12,1%</w:t>
            </w:r>
          </w:p>
        </w:tc>
      </w:tr>
      <w:tr w:rsidR="00674483" w:rsidTr="00073C55">
        <w:tc>
          <w:tcPr>
            <w:tcW w:w="689" w:type="dxa"/>
          </w:tcPr>
          <w:p w:rsidR="00674483" w:rsidRDefault="00674483" w:rsidP="00073C55">
            <w:pPr>
              <w:jc w:val="center"/>
              <w:rPr>
                <w:rFonts w:ascii="Arial" w:hAnsi="Arial"/>
                <w:sz w:val="22"/>
              </w:rPr>
            </w:pPr>
            <w:r>
              <w:rPr>
                <w:rFonts w:ascii="Arial" w:hAnsi="Arial"/>
                <w:sz w:val="22"/>
              </w:rPr>
              <w:t>3.</w:t>
            </w:r>
          </w:p>
        </w:tc>
        <w:tc>
          <w:tcPr>
            <w:tcW w:w="4948" w:type="dxa"/>
          </w:tcPr>
          <w:p w:rsidR="00674483" w:rsidRDefault="00674483" w:rsidP="00073C55">
            <w:pPr>
              <w:jc w:val="both"/>
              <w:rPr>
                <w:rFonts w:ascii="Arial" w:hAnsi="Arial"/>
                <w:sz w:val="22"/>
              </w:rPr>
            </w:pPr>
            <w:r>
              <w:rPr>
                <w:rFonts w:ascii="Arial" w:hAnsi="Arial"/>
                <w:sz w:val="22"/>
              </w:rPr>
              <w:t>Имеются заявления с более поздней датой</w:t>
            </w:r>
          </w:p>
        </w:tc>
        <w:tc>
          <w:tcPr>
            <w:tcW w:w="1417" w:type="dxa"/>
          </w:tcPr>
          <w:p w:rsidR="00674483" w:rsidRDefault="00674483" w:rsidP="00073C55">
            <w:pPr>
              <w:jc w:val="center"/>
              <w:rPr>
                <w:rFonts w:ascii="Arial" w:hAnsi="Arial"/>
                <w:sz w:val="22"/>
              </w:rPr>
            </w:pPr>
            <w:r>
              <w:rPr>
                <w:rFonts w:ascii="Arial" w:hAnsi="Arial"/>
                <w:sz w:val="22"/>
              </w:rPr>
              <w:t>20,9%</w:t>
            </w:r>
          </w:p>
        </w:tc>
        <w:tc>
          <w:tcPr>
            <w:tcW w:w="1136" w:type="dxa"/>
          </w:tcPr>
          <w:p w:rsidR="00674483" w:rsidRDefault="00674483" w:rsidP="00073C55">
            <w:pPr>
              <w:jc w:val="center"/>
              <w:rPr>
                <w:rFonts w:ascii="Arial" w:hAnsi="Arial"/>
                <w:sz w:val="22"/>
              </w:rPr>
            </w:pPr>
            <w:r>
              <w:rPr>
                <w:rFonts w:ascii="Arial" w:hAnsi="Arial"/>
                <w:sz w:val="22"/>
              </w:rPr>
              <w:t>12,7%</w:t>
            </w:r>
          </w:p>
        </w:tc>
        <w:tc>
          <w:tcPr>
            <w:tcW w:w="1381" w:type="dxa"/>
          </w:tcPr>
          <w:p w:rsidR="00674483" w:rsidRDefault="00674483" w:rsidP="00073C55">
            <w:pPr>
              <w:jc w:val="center"/>
              <w:rPr>
                <w:rFonts w:ascii="Arial" w:hAnsi="Arial"/>
                <w:sz w:val="22"/>
              </w:rPr>
            </w:pPr>
            <w:r>
              <w:rPr>
                <w:rFonts w:ascii="Arial" w:hAnsi="Arial"/>
                <w:sz w:val="22"/>
              </w:rPr>
              <w:t>17%</w:t>
            </w:r>
          </w:p>
        </w:tc>
      </w:tr>
      <w:tr w:rsidR="00674483" w:rsidTr="00073C55">
        <w:tc>
          <w:tcPr>
            <w:tcW w:w="689" w:type="dxa"/>
          </w:tcPr>
          <w:p w:rsidR="00674483" w:rsidRDefault="00674483" w:rsidP="00073C55">
            <w:pPr>
              <w:jc w:val="center"/>
              <w:rPr>
                <w:rFonts w:ascii="Arial" w:hAnsi="Arial"/>
                <w:sz w:val="22"/>
              </w:rPr>
            </w:pPr>
            <w:r>
              <w:rPr>
                <w:rFonts w:ascii="Arial" w:hAnsi="Arial"/>
                <w:sz w:val="22"/>
              </w:rPr>
              <w:t>4.</w:t>
            </w:r>
          </w:p>
        </w:tc>
        <w:tc>
          <w:tcPr>
            <w:tcW w:w="4948" w:type="dxa"/>
          </w:tcPr>
          <w:p w:rsidR="00674483" w:rsidRDefault="00674483" w:rsidP="00073C55">
            <w:pPr>
              <w:jc w:val="both"/>
              <w:rPr>
                <w:rFonts w:ascii="Arial" w:hAnsi="Arial"/>
                <w:sz w:val="22"/>
              </w:rPr>
            </w:pPr>
            <w:r>
              <w:rPr>
                <w:rFonts w:ascii="Arial" w:hAnsi="Arial"/>
                <w:sz w:val="22"/>
              </w:rPr>
              <w:t>Другое</w:t>
            </w:r>
          </w:p>
        </w:tc>
        <w:tc>
          <w:tcPr>
            <w:tcW w:w="1417" w:type="dxa"/>
          </w:tcPr>
          <w:p w:rsidR="00674483" w:rsidRDefault="00674483" w:rsidP="00073C55">
            <w:pPr>
              <w:jc w:val="center"/>
              <w:rPr>
                <w:rFonts w:ascii="Arial" w:hAnsi="Arial"/>
                <w:sz w:val="22"/>
              </w:rPr>
            </w:pPr>
            <w:r>
              <w:rPr>
                <w:rFonts w:ascii="Arial" w:hAnsi="Arial"/>
                <w:sz w:val="22"/>
              </w:rPr>
              <w:t>5,74%</w:t>
            </w:r>
          </w:p>
        </w:tc>
        <w:tc>
          <w:tcPr>
            <w:tcW w:w="1136" w:type="dxa"/>
          </w:tcPr>
          <w:p w:rsidR="00674483" w:rsidRDefault="00674483" w:rsidP="00073C55">
            <w:pPr>
              <w:jc w:val="center"/>
              <w:rPr>
                <w:rFonts w:ascii="Arial" w:hAnsi="Arial"/>
                <w:sz w:val="22"/>
              </w:rPr>
            </w:pPr>
            <w:r>
              <w:rPr>
                <w:rFonts w:ascii="Arial" w:hAnsi="Arial"/>
                <w:sz w:val="22"/>
              </w:rPr>
              <w:t>0,9%</w:t>
            </w:r>
          </w:p>
        </w:tc>
        <w:tc>
          <w:tcPr>
            <w:tcW w:w="1381" w:type="dxa"/>
          </w:tcPr>
          <w:p w:rsidR="00674483" w:rsidRDefault="00674483" w:rsidP="00073C55">
            <w:pPr>
              <w:jc w:val="center"/>
              <w:rPr>
                <w:rFonts w:ascii="Arial" w:hAnsi="Arial"/>
                <w:sz w:val="22"/>
              </w:rPr>
            </w:pPr>
            <w:r>
              <w:rPr>
                <w:rFonts w:ascii="Arial" w:hAnsi="Arial"/>
                <w:sz w:val="22"/>
              </w:rPr>
              <w:t>12,9%</w:t>
            </w:r>
          </w:p>
        </w:tc>
      </w:tr>
    </w:tbl>
    <w:p w:rsidR="00674483" w:rsidRDefault="00674483" w:rsidP="00674483">
      <w:pPr>
        <w:ind w:firstLine="709"/>
        <w:jc w:val="both"/>
        <w:rPr>
          <w:rFonts w:ascii="Arial" w:hAnsi="Arial"/>
          <w:sz w:val="22"/>
        </w:rPr>
      </w:pP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Следует отметить, что опубликованная структура причин отказов существенно отличается от классификации причин, которые приводят органы Пенсионного фонда России в сообщениях об отказе в удовлетворении заявлений. В этих сообщениях приводятся следующие причины отказов:</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1. Неверно указан предыдущий страховщик или в пользу застрахованного лица подано  другое заявление более поздней датой;</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2. Заявление в ПФР не поступало или данные ЗЛ, указанные в заявлении, не соответствуют данным в СНИЛС ПФР;</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3. ЗЛ обратилось за выплатами пенсии к предыдущему страховщику;</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4. С ЗЛ фондом заключены два или более договоров ОПС;</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5. Данные ЗЛ, указанные в договоре, не соответствуют данным в СНИЛС ПФР;</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6. Имеется  информация о смерти  ЗЛ.</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lastRenderedPageBreak/>
        <w:t xml:space="preserve">Этот разнобой в информировании существенно затрудняет проведение анализа причин отказов и сравнение результатов, полученных Пенсионным фондом России и НПФ – страховщиками по ОПС.  </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Подавляющее преимущество первой из опубликованных ПФР причин отказов в удовлетворении заявлений указывает на то, что действующий вариант системы персонифицированного учета не используется в соответствии с его возможностями в интересах защиты прав застрахованных лиц.</w:t>
      </w:r>
    </w:p>
    <w:p w:rsidR="00674483" w:rsidRDefault="00674483" w:rsidP="00674483">
      <w:pPr>
        <w:autoSpaceDE w:val="0"/>
        <w:autoSpaceDN w:val="0"/>
        <w:adjustRightInd w:val="0"/>
        <w:ind w:firstLine="720"/>
        <w:jc w:val="both"/>
        <w:rPr>
          <w:rFonts w:ascii="Arial" w:hAnsi="Arial"/>
          <w:sz w:val="22"/>
        </w:rPr>
      </w:pPr>
      <w:r w:rsidRPr="00674483">
        <w:rPr>
          <w:rFonts w:ascii="Arial" w:hAnsi="Arial"/>
          <w:sz w:val="22"/>
        </w:rPr>
        <w:t xml:space="preserve">Доступ к системе персонифицированного учета в системе обязательного пенсионного страхования должны иметь все страховщики по ОПС: и региональные отделения ПФР, и НПФ - страховщики по ОПС в пределах их роли в обязательном пенсионном страховании. К числу  сведений, которые должны быть доступны НПФ-страховщикам по ОПС, относятся, прежде всего, сведения о страховщике, внесенные на момент подачи заявления в Единый реестр застрахованных лиц. </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Это позволило бы исключить ошибки, допущенные в отношении 1430 тысяч застрахованных лиц, права которых были нарушены при отказе в удовлетворении заявлений.</w:t>
      </w:r>
    </w:p>
    <w:p w:rsidR="00674483" w:rsidRPr="00674483" w:rsidRDefault="00674483" w:rsidP="00674483">
      <w:pPr>
        <w:autoSpaceDE w:val="0"/>
        <w:autoSpaceDN w:val="0"/>
        <w:adjustRightInd w:val="0"/>
        <w:ind w:firstLine="720"/>
        <w:jc w:val="both"/>
        <w:rPr>
          <w:rFonts w:ascii="Arial" w:hAnsi="Arial"/>
          <w:sz w:val="22"/>
        </w:rPr>
      </w:pPr>
    </w:p>
    <w:p w:rsidR="00080C6F" w:rsidRDefault="00674483" w:rsidP="00674483">
      <w:pPr>
        <w:autoSpaceDE w:val="0"/>
        <w:autoSpaceDN w:val="0"/>
        <w:adjustRightInd w:val="0"/>
        <w:ind w:firstLine="720"/>
        <w:jc w:val="both"/>
        <w:rPr>
          <w:rFonts w:ascii="Arial" w:hAnsi="Arial"/>
          <w:sz w:val="22"/>
        </w:rPr>
      </w:pPr>
      <w:r w:rsidRPr="00674483">
        <w:rPr>
          <w:rFonts w:ascii="Arial" w:hAnsi="Arial"/>
          <w:sz w:val="22"/>
        </w:rPr>
        <w:t xml:space="preserve">Вызывает недоумение указание на отсутствие в Пенсионном фонде России почти 300 тысяч договоров об ОПС, подписанных застрахованными лицами и представленных НПФ – страховщиками по ОПС. Каждое заявление о выборе НПФ сопровождается заключением договора об ОПС, уведомление о заключении которого должно быть представлено (и представляется) в ПФР в установленный законом срок. При этом законом не установлена обязательность одновременной сдачи договора и заявления. </w:t>
      </w:r>
    </w:p>
    <w:p w:rsidR="00674483" w:rsidRPr="00674483" w:rsidRDefault="00080C6F" w:rsidP="00674483">
      <w:pPr>
        <w:autoSpaceDE w:val="0"/>
        <w:autoSpaceDN w:val="0"/>
        <w:adjustRightInd w:val="0"/>
        <w:ind w:firstLine="720"/>
        <w:jc w:val="both"/>
        <w:rPr>
          <w:rFonts w:ascii="Arial" w:hAnsi="Arial"/>
          <w:sz w:val="22"/>
        </w:rPr>
      </w:pPr>
      <w:r>
        <w:rPr>
          <w:rFonts w:ascii="Arial" w:hAnsi="Arial"/>
          <w:sz w:val="22"/>
        </w:rPr>
        <w:t>В этих условиях о</w:t>
      </w:r>
      <w:r w:rsidR="00674483" w:rsidRPr="00674483">
        <w:rPr>
          <w:rFonts w:ascii="Arial" w:hAnsi="Arial"/>
          <w:sz w:val="22"/>
        </w:rPr>
        <w:t>бязанность ПФР</w:t>
      </w:r>
      <w:r>
        <w:rPr>
          <w:rFonts w:ascii="Arial" w:hAnsi="Arial"/>
          <w:sz w:val="22"/>
        </w:rPr>
        <w:t>:</w:t>
      </w:r>
      <w:r w:rsidR="00674483" w:rsidRPr="00674483">
        <w:rPr>
          <w:rFonts w:ascii="Arial" w:hAnsi="Arial"/>
          <w:sz w:val="22"/>
        </w:rPr>
        <w:t xml:space="preserve"> организовать учет представленных в уведомлениях сведений о договорах об ОПС, исключ</w:t>
      </w:r>
      <w:r>
        <w:rPr>
          <w:rFonts w:ascii="Arial" w:hAnsi="Arial"/>
          <w:sz w:val="22"/>
        </w:rPr>
        <w:t>ить</w:t>
      </w:r>
      <w:r w:rsidR="00674483" w:rsidRPr="00674483">
        <w:rPr>
          <w:rFonts w:ascii="Arial" w:hAnsi="Arial"/>
          <w:sz w:val="22"/>
        </w:rPr>
        <w:t xml:space="preserve"> утрату этих сведений.</w:t>
      </w:r>
      <w:r>
        <w:rPr>
          <w:rFonts w:ascii="Arial" w:hAnsi="Arial"/>
          <w:sz w:val="22"/>
        </w:rPr>
        <w:t xml:space="preserve"> </w:t>
      </w:r>
      <w:r w:rsidR="00674483" w:rsidRPr="00674483">
        <w:rPr>
          <w:rFonts w:ascii="Arial" w:hAnsi="Arial"/>
          <w:sz w:val="22"/>
        </w:rPr>
        <w:t>Представители Пенсионного фонда России подтверждают: «У нас множество случаев, когда договоры и заявления сдаются в разные отделения ПФР в разное время, хотя было бы правильнее сдавать эти документы одновременно. Но у НПФ существует практика придерживать заявления до последних чисел декабря».</w:t>
      </w: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Решением этого вопроса стал бы отказ от заключения договора об ОПС в простой письменной форме и придание заявлению о выборе НПФ формы договора присоединения к условиям обязательного пенсионного страхования, изложенным в страховых правилах фонда.</w:t>
      </w:r>
    </w:p>
    <w:p w:rsidR="00674483" w:rsidRPr="00674483" w:rsidRDefault="00674483" w:rsidP="00674483">
      <w:pPr>
        <w:autoSpaceDE w:val="0"/>
        <w:autoSpaceDN w:val="0"/>
        <w:adjustRightInd w:val="0"/>
        <w:ind w:firstLine="720"/>
        <w:jc w:val="both"/>
        <w:rPr>
          <w:rFonts w:ascii="Arial" w:hAnsi="Arial"/>
          <w:sz w:val="22"/>
        </w:rPr>
      </w:pPr>
    </w:p>
    <w:p w:rsidR="00674483" w:rsidRPr="00674483" w:rsidRDefault="00674483" w:rsidP="00674483">
      <w:pPr>
        <w:autoSpaceDE w:val="0"/>
        <w:autoSpaceDN w:val="0"/>
        <w:adjustRightInd w:val="0"/>
        <w:ind w:firstLine="720"/>
        <w:jc w:val="both"/>
        <w:rPr>
          <w:rFonts w:ascii="Arial" w:hAnsi="Arial"/>
          <w:sz w:val="22"/>
        </w:rPr>
      </w:pPr>
      <w:r w:rsidRPr="00674483">
        <w:rPr>
          <w:rFonts w:ascii="Arial" w:hAnsi="Arial"/>
          <w:sz w:val="22"/>
        </w:rPr>
        <w:t xml:space="preserve">Третья группа отказов – «Имеются заявления с более поздней датой» является следствием права застрахованного подавать неограниченное количество заявлений о выборе НПФ или УК. Переход к «непрерывному» методу рассмотрения Пенсионным фондом России заявлений о выборе НПФ или УК позволяет снять </w:t>
      </w:r>
      <w:r>
        <w:rPr>
          <w:rFonts w:ascii="Arial" w:hAnsi="Arial"/>
          <w:sz w:val="22"/>
        </w:rPr>
        <w:t xml:space="preserve">и </w:t>
      </w:r>
      <w:r w:rsidRPr="00674483">
        <w:rPr>
          <w:rFonts w:ascii="Arial" w:hAnsi="Arial"/>
          <w:sz w:val="22"/>
        </w:rPr>
        <w:t xml:space="preserve">эту причину отказов. </w:t>
      </w:r>
    </w:p>
    <w:p w:rsidR="00674483" w:rsidRPr="00674483" w:rsidRDefault="00674483" w:rsidP="00674483">
      <w:pPr>
        <w:autoSpaceDE w:val="0"/>
        <w:autoSpaceDN w:val="0"/>
        <w:adjustRightInd w:val="0"/>
        <w:ind w:firstLine="720"/>
        <w:jc w:val="both"/>
        <w:rPr>
          <w:rFonts w:ascii="Arial" w:hAnsi="Arial"/>
          <w:sz w:val="22"/>
        </w:rPr>
      </w:pPr>
    </w:p>
    <w:p w:rsidR="00A96508" w:rsidRPr="00A96508" w:rsidRDefault="00674483" w:rsidP="00674483">
      <w:pPr>
        <w:autoSpaceDE w:val="0"/>
        <w:autoSpaceDN w:val="0"/>
        <w:adjustRightInd w:val="0"/>
        <w:ind w:firstLine="720"/>
        <w:jc w:val="both"/>
        <w:rPr>
          <w:rFonts w:ascii="Arial" w:hAnsi="Arial" w:cs="Arial"/>
          <w:color w:val="auto"/>
          <w:sz w:val="22"/>
          <w:szCs w:val="22"/>
        </w:rPr>
      </w:pPr>
      <w:r w:rsidRPr="00674483">
        <w:rPr>
          <w:rFonts w:ascii="Arial" w:hAnsi="Arial"/>
          <w:sz w:val="22"/>
        </w:rPr>
        <w:t xml:space="preserve">Если рассматривать причины отказов с позиций интересов застрахованного лица, то можно выработать решения, практически сводящие к нулю количество случаев, вызывающих отказы в удовлетворении заявлений застрахованных лиц. Напомним, что </w:t>
      </w:r>
      <w:r w:rsidRPr="00674483">
        <w:rPr>
          <w:rFonts w:ascii="Arial" w:hAnsi="Arial"/>
          <w:b/>
          <w:i/>
          <w:sz w:val="22"/>
        </w:rPr>
        <w:t>отказ в удовлетворении явно выраженного решения застрахованного лица является нарушением его прав при формировании накопительной части трудовой пенсии.</w:t>
      </w:r>
    </w:p>
    <w:p w:rsidR="00674483" w:rsidRPr="00674483" w:rsidRDefault="00674483" w:rsidP="00674483">
      <w:pPr>
        <w:autoSpaceDE w:val="0"/>
        <w:autoSpaceDN w:val="0"/>
        <w:adjustRightInd w:val="0"/>
        <w:ind w:firstLine="720"/>
        <w:jc w:val="both"/>
        <w:rPr>
          <w:rFonts w:ascii="Arial" w:hAnsi="Arial" w:cs="Arial"/>
          <w:color w:val="auto"/>
          <w:sz w:val="22"/>
          <w:szCs w:val="22"/>
        </w:rPr>
      </w:pPr>
      <w:r w:rsidRPr="00674483">
        <w:rPr>
          <w:rFonts w:ascii="Arial" w:hAnsi="Arial" w:cs="Arial"/>
          <w:color w:val="auto"/>
          <w:sz w:val="22"/>
          <w:szCs w:val="22"/>
        </w:rPr>
        <w:t>Анализ данных по причинам отказов в удовлетворении заявлений застрахованных лиц показывает, что сложившаяся процедура реализации гражданами их прав на выбор способа формирования пенсионных накоплений неустойчива не только к целенаправленным мошенническим действиям, но и к простым ошибкам при оформлении заявлений, как застрахованных лиц, так и персонала отделений Пенсионного фонда России и НПФ – страховщиков по ОПС.</w:t>
      </w:r>
    </w:p>
    <w:p w:rsidR="00674483" w:rsidRDefault="00674483" w:rsidP="00674483">
      <w:pPr>
        <w:autoSpaceDE w:val="0"/>
        <w:autoSpaceDN w:val="0"/>
        <w:adjustRightInd w:val="0"/>
        <w:ind w:firstLine="720"/>
        <w:jc w:val="both"/>
        <w:rPr>
          <w:rFonts w:ascii="Arial" w:hAnsi="Arial" w:cs="Arial"/>
          <w:color w:val="auto"/>
          <w:sz w:val="22"/>
          <w:szCs w:val="22"/>
        </w:rPr>
      </w:pPr>
      <w:r w:rsidRPr="00674483">
        <w:rPr>
          <w:rFonts w:ascii="Arial" w:hAnsi="Arial" w:cs="Arial"/>
          <w:color w:val="auto"/>
          <w:sz w:val="22"/>
          <w:szCs w:val="22"/>
        </w:rPr>
        <w:t>НАПФ предложила комплекс мер, направленных на повышения устойчивости и эффективности процедур выбора страховщика по ОПС</w:t>
      </w:r>
      <w:r w:rsidR="00507B42">
        <w:rPr>
          <w:rFonts w:ascii="Arial" w:hAnsi="Arial" w:cs="Arial"/>
          <w:color w:val="auto"/>
          <w:sz w:val="22"/>
          <w:szCs w:val="22"/>
        </w:rPr>
        <w:t>, перечень которых перечислен в основной части отчета</w:t>
      </w:r>
      <w:r w:rsidRPr="00674483">
        <w:rPr>
          <w:rFonts w:ascii="Arial" w:hAnsi="Arial" w:cs="Arial"/>
          <w:color w:val="auto"/>
          <w:sz w:val="22"/>
          <w:szCs w:val="22"/>
        </w:rPr>
        <w:t xml:space="preserve">. Эти меры связаны с корректировкой действующего законодательства (167-ФЗ, 75-ФЗ и 111-ФЗ), процедур и административных регламентов, действующих в Пенсионном фонде России и в НПФ-страховщиках по ОПС, прав доступа и ответственности к информационным ресурсам индивидуального </w:t>
      </w:r>
      <w:r w:rsidRPr="00674483">
        <w:rPr>
          <w:rFonts w:ascii="Arial" w:hAnsi="Arial" w:cs="Arial"/>
          <w:color w:val="auto"/>
          <w:sz w:val="22"/>
          <w:szCs w:val="22"/>
        </w:rPr>
        <w:lastRenderedPageBreak/>
        <w:t>(персонифицированного) учета в системе обязательного пенсионного страхования и Единого реестра застрахованных лиц</w:t>
      </w:r>
      <w:r w:rsidR="00507B42">
        <w:rPr>
          <w:rFonts w:ascii="Arial" w:hAnsi="Arial" w:cs="Arial"/>
          <w:color w:val="auto"/>
          <w:sz w:val="22"/>
          <w:szCs w:val="22"/>
        </w:rPr>
        <w:t>.</w:t>
      </w:r>
    </w:p>
    <w:p w:rsidR="00674483" w:rsidRDefault="00674483" w:rsidP="00A96508">
      <w:pPr>
        <w:autoSpaceDE w:val="0"/>
        <w:autoSpaceDN w:val="0"/>
        <w:adjustRightInd w:val="0"/>
        <w:ind w:firstLine="720"/>
        <w:jc w:val="both"/>
        <w:rPr>
          <w:rFonts w:ascii="Arial" w:hAnsi="Arial" w:cs="Arial"/>
          <w:color w:val="auto"/>
          <w:sz w:val="22"/>
          <w:szCs w:val="22"/>
        </w:rPr>
      </w:pPr>
    </w:p>
    <w:p w:rsidR="00507B42" w:rsidRPr="00507B42" w:rsidRDefault="00507B42" w:rsidP="00507B42">
      <w:pPr>
        <w:autoSpaceDE w:val="0"/>
        <w:autoSpaceDN w:val="0"/>
        <w:adjustRightInd w:val="0"/>
        <w:ind w:firstLine="720"/>
        <w:jc w:val="both"/>
        <w:rPr>
          <w:rFonts w:ascii="Arial" w:hAnsi="Arial" w:cs="Arial"/>
          <w:color w:val="auto"/>
          <w:sz w:val="22"/>
          <w:szCs w:val="22"/>
        </w:rPr>
      </w:pPr>
      <w:r>
        <w:rPr>
          <w:rFonts w:ascii="Arial" w:hAnsi="Arial" w:cs="Arial"/>
          <w:color w:val="auto"/>
          <w:sz w:val="22"/>
          <w:szCs w:val="22"/>
        </w:rPr>
        <w:t>В</w:t>
      </w:r>
      <w:r w:rsidRPr="00507B42">
        <w:rPr>
          <w:rFonts w:ascii="Arial" w:hAnsi="Arial" w:cs="Arial"/>
          <w:color w:val="auto"/>
          <w:sz w:val="22"/>
          <w:szCs w:val="22"/>
        </w:rPr>
        <w:t xml:space="preserve"> печати </w:t>
      </w:r>
      <w:r>
        <w:rPr>
          <w:rFonts w:ascii="Arial" w:hAnsi="Arial" w:cs="Arial"/>
          <w:color w:val="auto"/>
          <w:sz w:val="22"/>
          <w:szCs w:val="22"/>
        </w:rPr>
        <w:t>р</w:t>
      </w:r>
      <w:r w:rsidRPr="00507B42">
        <w:rPr>
          <w:rFonts w:ascii="Arial" w:hAnsi="Arial" w:cs="Arial"/>
          <w:color w:val="auto"/>
          <w:sz w:val="22"/>
          <w:szCs w:val="22"/>
        </w:rPr>
        <w:t xml:space="preserve">егулярно появляются слова о </w:t>
      </w:r>
      <w:r w:rsidR="00080C6F" w:rsidRPr="00080C6F">
        <w:rPr>
          <w:rFonts w:ascii="Arial" w:hAnsi="Arial" w:cs="Arial"/>
          <w:color w:val="auto"/>
          <w:sz w:val="22"/>
          <w:szCs w:val="22"/>
        </w:rPr>
        <w:t xml:space="preserve">поступивших в ПФР </w:t>
      </w:r>
      <w:r w:rsidRPr="00507B42">
        <w:rPr>
          <w:rFonts w:ascii="Arial" w:hAnsi="Arial" w:cs="Arial"/>
          <w:color w:val="auto"/>
          <w:sz w:val="22"/>
          <w:szCs w:val="22"/>
        </w:rPr>
        <w:t>«тысячах жалоб»</w:t>
      </w:r>
      <w:r w:rsidR="00080C6F">
        <w:rPr>
          <w:rFonts w:ascii="Arial" w:hAnsi="Arial" w:cs="Arial"/>
          <w:color w:val="auto"/>
          <w:sz w:val="22"/>
          <w:szCs w:val="22"/>
        </w:rPr>
        <w:t xml:space="preserve"> на неправомерный перевод</w:t>
      </w:r>
      <w:r w:rsidRPr="00507B42">
        <w:rPr>
          <w:rFonts w:ascii="Arial" w:hAnsi="Arial" w:cs="Arial"/>
          <w:color w:val="auto"/>
          <w:sz w:val="22"/>
          <w:szCs w:val="22"/>
        </w:rPr>
        <w:t xml:space="preserve">, </w:t>
      </w:r>
      <w:r w:rsidR="00080C6F">
        <w:rPr>
          <w:rFonts w:ascii="Arial" w:hAnsi="Arial" w:cs="Arial"/>
          <w:color w:val="auto"/>
          <w:sz w:val="22"/>
          <w:szCs w:val="22"/>
        </w:rPr>
        <w:t>из ПФР в НПФ или из одного НПФ в другой</w:t>
      </w:r>
      <w:r w:rsidRPr="00507B42">
        <w:rPr>
          <w:rFonts w:ascii="Arial" w:hAnsi="Arial" w:cs="Arial"/>
          <w:color w:val="auto"/>
          <w:sz w:val="22"/>
          <w:szCs w:val="22"/>
        </w:rPr>
        <w:t>, однако на практике их число оказывается на порядок меньше. В 2012 году в НАПФ было направлено со стороны ПФР 1033 официальные жалобы застрахованных лиц, в то время как 2011 году  - 4835 жалоб при общем числе заявлений застрахованных лиц 4,5 м</w:t>
      </w:r>
      <w:r w:rsidR="00080C6F">
        <w:rPr>
          <w:rFonts w:ascii="Arial" w:hAnsi="Arial" w:cs="Arial"/>
          <w:color w:val="auto"/>
          <w:sz w:val="22"/>
          <w:szCs w:val="22"/>
        </w:rPr>
        <w:t>ил</w:t>
      </w:r>
      <w:r w:rsidRPr="00507B42">
        <w:rPr>
          <w:rFonts w:ascii="Arial" w:hAnsi="Arial" w:cs="Arial"/>
          <w:color w:val="auto"/>
          <w:sz w:val="22"/>
          <w:szCs w:val="22"/>
        </w:rPr>
        <w:t>л</w:t>
      </w:r>
      <w:r w:rsidR="00080C6F">
        <w:rPr>
          <w:rFonts w:ascii="Arial" w:hAnsi="Arial" w:cs="Arial"/>
          <w:color w:val="auto"/>
          <w:sz w:val="22"/>
          <w:szCs w:val="22"/>
        </w:rPr>
        <w:t xml:space="preserve">иона. </w:t>
      </w:r>
    </w:p>
    <w:p w:rsidR="00507B42" w:rsidRPr="00507B42" w:rsidRDefault="00507B42" w:rsidP="00507B42">
      <w:pPr>
        <w:autoSpaceDE w:val="0"/>
        <w:autoSpaceDN w:val="0"/>
        <w:adjustRightInd w:val="0"/>
        <w:ind w:firstLine="720"/>
        <w:jc w:val="both"/>
        <w:rPr>
          <w:rFonts w:ascii="Arial" w:hAnsi="Arial" w:cs="Arial"/>
          <w:color w:val="auto"/>
          <w:sz w:val="22"/>
          <w:szCs w:val="22"/>
        </w:rPr>
      </w:pPr>
      <w:r w:rsidRPr="00507B42">
        <w:rPr>
          <w:rFonts w:ascii="Arial" w:hAnsi="Arial" w:cs="Arial"/>
          <w:color w:val="auto"/>
          <w:sz w:val="22"/>
          <w:szCs w:val="22"/>
        </w:rPr>
        <w:t xml:space="preserve">Остальные «тысячи жалоб» должны рассматриваться лишь как фигура речи, чисто пропагандистская риторика со стороны ПФР. </w:t>
      </w:r>
    </w:p>
    <w:p w:rsidR="00507B42" w:rsidRPr="00507B42" w:rsidRDefault="00507B42" w:rsidP="00507B42">
      <w:pPr>
        <w:autoSpaceDE w:val="0"/>
        <w:autoSpaceDN w:val="0"/>
        <w:adjustRightInd w:val="0"/>
        <w:ind w:firstLine="720"/>
        <w:jc w:val="both"/>
        <w:rPr>
          <w:rFonts w:ascii="Arial" w:hAnsi="Arial" w:cs="Arial"/>
          <w:color w:val="auto"/>
          <w:sz w:val="22"/>
          <w:szCs w:val="22"/>
        </w:rPr>
      </w:pPr>
      <w:r w:rsidRPr="00507B42">
        <w:rPr>
          <w:rFonts w:ascii="Arial" w:hAnsi="Arial" w:cs="Arial"/>
          <w:color w:val="auto"/>
          <w:sz w:val="22"/>
          <w:szCs w:val="22"/>
        </w:rPr>
        <w:t>Сведения об итогах рассмотрения негосударственными пенсионными фондами обращений граждан представлены в таблице</w:t>
      </w:r>
      <w:r w:rsidR="007962E3">
        <w:rPr>
          <w:rFonts w:ascii="Arial" w:hAnsi="Arial" w:cs="Arial"/>
          <w:color w:val="auto"/>
          <w:sz w:val="22"/>
          <w:szCs w:val="22"/>
        </w:rPr>
        <w:t xml:space="preserve"> 8</w:t>
      </w:r>
      <w:r w:rsidRPr="00507B42">
        <w:rPr>
          <w:rFonts w:ascii="Arial" w:hAnsi="Arial" w:cs="Arial"/>
          <w:color w:val="auto"/>
          <w:sz w:val="22"/>
          <w:szCs w:val="22"/>
        </w:rPr>
        <w:t>.</w:t>
      </w:r>
    </w:p>
    <w:p w:rsidR="00507B42" w:rsidRPr="00507B42" w:rsidRDefault="00507B42" w:rsidP="00507B42">
      <w:pPr>
        <w:autoSpaceDE w:val="0"/>
        <w:autoSpaceDN w:val="0"/>
        <w:adjustRightInd w:val="0"/>
        <w:ind w:firstLine="720"/>
        <w:jc w:val="both"/>
        <w:rPr>
          <w:rFonts w:ascii="Arial" w:hAnsi="Arial" w:cs="Arial"/>
          <w:color w:val="auto"/>
          <w:sz w:val="22"/>
          <w:szCs w:val="22"/>
        </w:rPr>
      </w:pPr>
    </w:p>
    <w:p w:rsidR="00507B42" w:rsidRPr="00507B42" w:rsidRDefault="00507B42" w:rsidP="00507B42">
      <w:pPr>
        <w:autoSpaceDE w:val="0"/>
        <w:autoSpaceDN w:val="0"/>
        <w:adjustRightInd w:val="0"/>
        <w:ind w:firstLine="720"/>
        <w:jc w:val="both"/>
        <w:rPr>
          <w:rFonts w:ascii="Arial" w:hAnsi="Arial" w:cs="Arial"/>
          <w:color w:val="auto"/>
          <w:sz w:val="22"/>
          <w:szCs w:val="22"/>
        </w:rPr>
      </w:pPr>
    </w:p>
    <w:p w:rsidR="00507B42" w:rsidRPr="00507B42" w:rsidRDefault="00507B42" w:rsidP="00507B42">
      <w:pPr>
        <w:autoSpaceDE w:val="0"/>
        <w:autoSpaceDN w:val="0"/>
        <w:adjustRightInd w:val="0"/>
        <w:ind w:firstLine="720"/>
        <w:jc w:val="right"/>
        <w:rPr>
          <w:rFonts w:ascii="Arial" w:hAnsi="Arial" w:cs="Arial"/>
          <w:color w:val="auto"/>
          <w:sz w:val="22"/>
          <w:szCs w:val="22"/>
        </w:rPr>
      </w:pPr>
      <w:r w:rsidRPr="00507B42">
        <w:rPr>
          <w:rFonts w:ascii="Arial" w:hAnsi="Arial" w:cs="Arial"/>
          <w:color w:val="auto"/>
          <w:sz w:val="22"/>
          <w:szCs w:val="22"/>
        </w:rPr>
        <w:t>Таблица</w:t>
      </w:r>
      <w:r w:rsidR="007962E3">
        <w:rPr>
          <w:rFonts w:ascii="Arial" w:hAnsi="Arial" w:cs="Arial"/>
          <w:color w:val="auto"/>
          <w:sz w:val="22"/>
          <w:szCs w:val="22"/>
        </w:rPr>
        <w:t xml:space="preserve">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1"/>
        <w:gridCol w:w="1415"/>
        <w:gridCol w:w="1096"/>
        <w:gridCol w:w="1405"/>
        <w:gridCol w:w="1064"/>
      </w:tblGrid>
      <w:tr w:rsidR="00507B42" w:rsidRPr="00507B42" w:rsidTr="00073C55">
        <w:tc>
          <w:tcPr>
            <w:tcW w:w="4847" w:type="dxa"/>
            <w:vMerge w:val="restart"/>
            <w:shd w:val="clear" w:color="auto" w:fill="auto"/>
          </w:tcPr>
          <w:p w:rsidR="00507B42" w:rsidRPr="00507B42" w:rsidRDefault="00507B42" w:rsidP="00507B42">
            <w:pPr>
              <w:widowControl w:val="0"/>
              <w:autoSpaceDE w:val="0"/>
              <w:autoSpaceDN w:val="0"/>
              <w:adjustRightInd w:val="0"/>
              <w:rPr>
                <w:rFonts w:ascii="Arial" w:hAnsi="Arial" w:cs="Arial"/>
                <w:color w:val="auto"/>
                <w:sz w:val="22"/>
                <w:szCs w:val="22"/>
              </w:rPr>
            </w:pPr>
          </w:p>
        </w:tc>
        <w:tc>
          <w:tcPr>
            <w:tcW w:w="2526" w:type="dxa"/>
            <w:gridSpan w:val="2"/>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2011 г.</w:t>
            </w:r>
          </w:p>
        </w:tc>
        <w:tc>
          <w:tcPr>
            <w:tcW w:w="2480" w:type="dxa"/>
            <w:gridSpan w:val="2"/>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2012 г.</w:t>
            </w:r>
          </w:p>
        </w:tc>
      </w:tr>
      <w:tr w:rsidR="00507B42" w:rsidRPr="00507B42" w:rsidTr="00073C55">
        <w:tc>
          <w:tcPr>
            <w:tcW w:w="4847" w:type="dxa"/>
            <w:vMerge/>
            <w:shd w:val="clear" w:color="auto" w:fill="auto"/>
          </w:tcPr>
          <w:p w:rsidR="00507B42" w:rsidRPr="00507B42" w:rsidRDefault="00507B42" w:rsidP="00507B42">
            <w:pPr>
              <w:widowControl w:val="0"/>
              <w:autoSpaceDE w:val="0"/>
              <w:autoSpaceDN w:val="0"/>
              <w:adjustRightInd w:val="0"/>
              <w:rPr>
                <w:rFonts w:ascii="Arial" w:hAnsi="Arial" w:cs="Arial"/>
                <w:color w:val="auto"/>
                <w:sz w:val="22"/>
                <w:szCs w:val="22"/>
              </w:rPr>
            </w:pPr>
          </w:p>
        </w:tc>
        <w:tc>
          <w:tcPr>
            <w:tcW w:w="1416"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Количество</w:t>
            </w:r>
          </w:p>
        </w:tc>
        <w:tc>
          <w:tcPr>
            <w:tcW w:w="1110"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w:t>
            </w:r>
          </w:p>
        </w:tc>
        <w:tc>
          <w:tcPr>
            <w:tcW w:w="140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Количество</w:t>
            </w:r>
          </w:p>
        </w:tc>
        <w:tc>
          <w:tcPr>
            <w:tcW w:w="107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w:t>
            </w:r>
          </w:p>
        </w:tc>
      </w:tr>
      <w:tr w:rsidR="00507B42" w:rsidRPr="00507B42" w:rsidTr="00073C55">
        <w:tc>
          <w:tcPr>
            <w:tcW w:w="4847" w:type="dxa"/>
            <w:shd w:val="clear" w:color="auto" w:fill="auto"/>
          </w:tcPr>
          <w:p w:rsidR="00507B42" w:rsidRPr="00507B42" w:rsidRDefault="00507B42" w:rsidP="00507B42">
            <w:pPr>
              <w:widowControl w:val="0"/>
              <w:autoSpaceDE w:val="0"/>
              <w:autoSpaceDN w:val="0"/>
              <w:adjustRightInd w:val="0"/>
              <w:rPr>
                <w:rFonts w:ascii="Arial" w:hAnsi="Arial" w:cs="Arial"/>
                <w:color w:val="auto"/>
                <w:sz w:val="22"/>
                <w:szCs w:val="22"/>
              </w:rPr>
            </w:pPr>
            <w:r w:rsidRPr="00507B42">
              <w:rPr>
                <w:rFonts w:ascii="Arial" w:hAnsi="Arial" w:cs="Arial"/>
                <w:color w:val="auto"/>
                <w:sz w:val="22"/>
                <w:szCs w:val="22"/>
              </w:rPr>
              <w:t>Количество заявлений о переходах ПФР-НПФ и НПФ-НПФ в истекшем году (тыс. шт.)</w:t>
            </w:r>
          </w:p>
        </w:tc>
        <w:tc>
          <w:tcPr>
            <w:tcW w:w="1416"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4669</w:t>
            </w:r>
          </w:p>
          <w:p w:rsidR="00507B42" w:rsidRPr="00507B42" w:rsidRDefault="00507B42" w:rsidP="00507B42">
            <w:pPr>
              <w:widowControl w:val="0"/>
              <w:autoSpaceDE w:val="0"/>
              <w:autoSpaceDN w:val="0"/>
              <w:adjustRightInd w:val="0"/>
              <w:jc w:val="center"/>
              <w:rPr>
                <w:rFonts w:ascii="Arial" w:hAnsi="Arial" w:cs="Arial"/>
                <w:color w:val="auto"/>
                <w:sz w:val="22"/>
                <w:szCs w:val="22"/>
              </w:rPr>
            </w:pPr>
          </w:p>
        </w:tc>
        <w:tc>
          <w:tcPr>
            <w:tcW w:w="1110"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p>
        </w:tc>
        <w:tc>
          <w:tcPr>
            <w:tcW w:w="140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8576,0</w:t>
            </w:r>
          </w:p>
        </w:tc>
        <w:tc>
          <w:tcPr>
            <w:tcW w:w="107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p>
        </w:tc>
      </w:tr>
      <w:tr w:rsidR="00507B42" w:rsidRPr="00507B42" w:rsidTr="00073C55">
        <w:tc>
          <w:tcPr>
            <w:tcW w:w="4847" w:type="dxa"/>
            <w:shd w:val="clear" w:color="auto" w:fill="auto"/>
          </w:tcPr>
          <w:p w:rsidR="00507B42" w:rsidRPr="00507B42" w:rsidRDefault="00507B42" w:rsidP="00507B42">
            <w:pPr>
              <w:widowControl w:val="0"/>
              <w:autoSpaceDE w:val="0"/>
              <w:autoSpaceDN w:val="0"/>
              <w:adjustRightInd w:val="0"/>
              <w:rPr>
                <w:rFonts w:ascii="Arial" w:hAnsi="Arial" w:cs="Arial"/>
                <w:color w:val="auto"/>
                <w:sz w:val="22"/>
                <w:szCs w:val="22"/>
              </w:rPr>
            </w:pPr>
            <w:r w:rsidRPr="00507B42">
              <w:rPr>
                <w:rFonts w:ascii="Arial" w:hAnsi="Arial" w:cs="Arial"/>
                <w:color w:val="auto"/>
                <w:sz w:val="22"/>
                <w:szCs w:val="22"/>
              </w:rPr>
              <w:t>Количество обращений (шт.) (% к количеству заявлений в истекшем году)</w:t>
            </w:r>
          </w:p>
        </w:tc>
        <w:tc>
          <w:tcPr>
            <w:tcW w:w="1416"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4835</w:t>
            </w:r>
          </w:p>
        </w:tc>
        <w:tc>
          <w:tcPr>
            <w:tcW w:w="1110"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0,103%</w:t>
            </w:r>
          </w:p>
        </w:tc>
        <w:tc>
          <w:tcPr>
            <w:tcW w:w="140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1033</w:t>
            </w:r>
          </w:p>
        </w:tc>
        <w:tc>
          <w:tcPr>
            <w:tcW w:w="107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0,012%</w:t>
            </w:r>
          </w:p>
        </w:tc>
      </w:tr>
      <w:tr w:rsidR="00507B42" w:rsidRPr="00507B42" w:rsidTr="00073C55">
        <w:tc>
          <w:tcPr>
            <w:tcW w:w="4847" w:type="dxa"/>
            <w:shd w:val="clear" w:color="auto" w:fill="auto"/>
          </w:tcPr>
          <w:p w:rsidR="00507B42" w:rsidRPr="00507B42" w:rsidRDefault="00507B42" w:rsidP="00507B42">
            <w:pPr>
              <w:widowControl w:val="0"/>
              <w:autoSpaceDE w:val="0"/>
              <w:autoSpaceDN w:val="0"/>
              <w:adjustRightInd w:val="0"/>
              <w:rPr>
                <w:rFonts w:ascii="Arial" w:hAnsi="Arial" w:cs="Arial"/>
                <w:color w:val="auto"/>
                <w:sz w:val="22"/>
                <w:szCs w:val="22"/>
              </w:rPr>
            </w:pPr>
            <w:r w:rsidRPr="00507B42">
              <w:rPr>
                <w:rFonts w:ascii="Arial" w:hAnsi="Arial" w:cs="Arial"/>
                <w:color w:val="auto"/>
                <w:sz w:val="22"/>
                <w:szCs w:val="22"/>
              </w:rPr>
              <w:t>Количество урегулированных обращений (шт.) (% к числу обращений)</w:t>
            </w:r>
          </w:p>
        </w:tc>
        <w:tc>
          <w:tcPr>
            <w:tcW w:w="1416"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2511</w:t>
            </w:r>
          </w:p>
        </w:tc>
        <w:tc>
          <w:tcPr>
            <w:tcW w:w="1110"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52,0%</w:t>
            </w:r>
          </w:p>
        </w:tc>
        <w:tc>
          <w:tcPr>
            <w:tcW w:w="140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606</w:t>
            </w:r>
          </w:p>
        </w:tc>
        <w:tc>
          <w:tcPr>
            <w:tcW w:w="107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58,7%</w:t>
            </w:r>
          </w:p>
        </w:tc>
      </w:tr>
      <w:tr w:rsidR="00507B42" w:rsidRPr="00507B42" w:rsidTr="00073C55">
        <w:tc>
          <w:tcPr>
            <w:tcW w:w="4847" w:type="dxa"/>
            <w:shd w:val="clear" w:color="auto" w:fill="auto"/>
          </w:tcPr>
          <w:p w:rsidR="00507B42" w:rsidRPr="00507B42" w:rsidRDefault="00507B42" w:rsidP="00507B42">
            <w:pPr>
              <w:widowControl w:val="0"/>
              <w:autoSpaceDE w:val="0"/>
              <w:autoSpaceDN w:val="0"/>
              <w:adjustRightInd w:val="0"/>
              <w:rPr>
                <w:rFonts w:ascii="Arial" w:hAnsi="Arial" w:cs="Arial"/>
                <w:color w:val="auto"/>
                <w:sz w:val="22"/>
                <w:szCs w:val="22"/>
              </w:rPr>
            </w:pPr>
            <w:r w:rsidRPr="00507B42">
              <w:rPr>
                <w:rFonts w:ascii="Arial" w:hAnsi="Arial" w:cs="Arial"/>
                <w:color w:val="auto"/>
                <w:sz w:val="22"/>
                <w:szCs w:val="22"/>
              </w:rPr>
              <w:t>Количество неурегулированных обращений (шт.) (% к числу обращений)</w:t>
            </w:r>
          </w:p>
        </w:tc>
        <w:tc>
          <w:tcPr>
            <w:tcW w:w="1416"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2157</w:t>
            </w:r>
          </w:p>
        </w:tc>
        <w:tc>
          <w:tcPr>
            <w:tcW w:w="1110"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44,6%</w:t>
            </w:r>
          </w:p>
        </w:tc>
        <w:tc>
          <w:tcPr>
            <w:tcW w:w="140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161</w:t>
            </w:r>
          </w:p>
        </w:tc>
        <w:tc>
          <w:tcPr>
            <w:tcW w:w="107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15,6%</w:t>
            </w:r>
          </w:p>
        </w:tc>
      </w:tr>
      <w:tr w:rsidR="00507B42" w:rsidRPr="00507B42" w:rsidTr="00073C55">
        <w:tc>
          <w:tcPr>
            <w:tcW w:w="4847" w:type="dxa"/>
            <w:shd w:val="clear" w:color="auto" w:fill="auto"/>
          </w:tcPr>
          <w:p w:rsidR="00507B42" w:rsidRPr="00507B42" w:rsidRDefault="00507B42" w:rsidP="00507B42">
            <w:pPr>
              <w:widowControl w:val="0"/>
              <w:autoSpaceDE w:val="0"/>
              <w:autoSpaceDN w:val="0"/>
              <w:adjustRightInd w:val="0"/>
              <w:rPr>
                <w:rFonts w:ascii="Arial" w:hAnsi="Arial" w:cs="Arial"/>
                <w:color w:val="auto"/>
                <w:sz w:val="22"/>
                <w:szCs w:val="22"/>
              </w:rPr>
            </w:pPr>
            <w:r w:rsidRPr="00507B42">
              <w:rPr>
                <w:rFonts w:ascii="Arial" w:hAnsi="Arial" w:cs="Arial"/>
                <w:color w:val="auto"/>
                <w:sz w:val="22"/>
                <w:szCs w:val="22"/>
              </w:rPr>
              <w:t>Количество обращений, по которым не представлена информация (шт.) (% к числу обращений)</w:t>
            </w:r>
          </w:p>
        </w:tc>
        <w:tc>
          <w:tcPr>
            <w:tcW w:w="1416"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164</w:t>
            </w:r>
          </w:p>
        </w:tc>
        <w:tc>
          <w:tcPr>
            <w:tcW w:w="1110"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3,4%</w:t>
            </w:r>
          </w:p>
        </w:tc>
        <w:tc>
          <w:tcPr>
            <w:tcW w:w="140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266</w:t>
            </w:r>
          </w:p>
        </w:tc>
        <w:tc>
          <w:tcPr>
            <w:tcW w:w="1075" w:type="dxa"/>
            <w:shd w:val="clear" w:color="auto" w:fill="auto"/>
          </w:tcPr>
          <w:p w:rsidR="00507B42" w:rsidRPr="00507B42" w:rsidRDefault="00507B42" w:rsidP="00507B42">
            <w:pPr>
              <w:widowControl w:val="0"/>
              <w:autoSpaceDE w:val="0"/>
              <w:autoSpaceDN w:val="0"/>
              <w:adjustRightInd w:val="0"/>
              <w:jc w:val="center"/>
              <w:rPr>
                <w:rFonts w:ascii="Arial" w:hAnsi="Arial" w:cs="Arial"/>
                <w:color w:val="auto"/>
                <w:sz w:val="22"/>
                <w:szCs w:val="22"/>
              </w:rPr>
            </w:pPr>
            <w:r w:rsidRPr="00507B42">
              <w:rPr>
                <w:rFonts w:ascii="Arial" w:hAnsi="Arial" w:cs="Arial"/>
                <w:color w:val="auto"/>
                <w:sz w:val="22"/>
                <w:szCs w:val="22"/>
              </w:rPr>
              <w:t>25,7%</w:t>
            </w:r>
          </w:p>
        </w:tc>
      </w:tr>
    </w:tbl>
    <w:p w:rsidR="00507B42" w:rsidRPr="00507B42" w:rsidRDefault="00507B42" w:rsidP="00507B42">
      <w:pPr>
        <w:autoSpaceDE w:val="0"/>
        <w:autoSpaceDN w:val="0"/>
        <w:adjustRightInd w:val="0"/>
        <w:ind w:firstLine="720"/>
        <w:jc w:val="both"/>
        <w:rPr>
          <w:rFonts w:ascii="Arial" w:hAnsi="Arial" w:cs="Arial"/>
          <w:color w:val="auto"/>
          <w:sz w:val="22"/>
          <w:szCs w:val="22"/>
        </w:rPr>
      </w:pPr>
    </w:p>
    <w:p w:rsidR="00A96508" w:rsidRPr="00A96508" w:rsidRDefault="00A96508" w:rsidP="00A96508">
      <w:pPr>
        <w:autoSpaceDE w:val="0"/>
        <w:autoSpaceDN w:val="0"/>
        <w:adjustRightInd w:val="0"/>
        <w:ind w:firstLine="720"/>
        <w:jc w:val="both"/>
        <w:rPr>
          <w:rFonts w:ascii="Arial" w:hAnsi="Arial" w:cs="Arial"/>
          <w:color w:val="auto"/>
          <w:sz w:val="22"/>
          <w:szCs w:val="22"/>
        </w:rPr>
      </w:pPr>
      <w:r w:rsidRPr="00A96508">
        <w:rPr>
          <w:rFonts w:ascii="Arial" w:hAnsi="Arial" w:cs="Arial"/>
          <w:color w:val="auto"/>
          <w:sz w:val="22"/>
          <w:szCs w:val="22"/>
        </w:rPr>
        <w:t xml:space="preserve">НАПФ считает недопустимым каждый случай нарушения прав застрахованных лиц, а принятие мер по предупреждению этих явлений – одним из важнейших направлений повседневной деятельности фондов. </w:t>
      </w:r>
    </w:p>
    <w:p w:rsidR="00BF174B" w:rsidRDefault="007D02B1" w:rsidP="009A29E9">
      <w:pPr>
        <w:ind w:firstLine="709"/>
        <w:jc w:val="both"/>
        <w:rPr>
          <w:rFonts w:ascii="Arial" w:hAnsi="Arial"/>
          <w:sz w:val="22"/>
        </w:rPr>
      </w:pPr>
      <w:r w:rsidRPr="007D02B1">
        <w:rPr>
          <w:rFonts w:ascii="Arial" w:hAnsi="Arial"/>
          <w:sz w:val="22"/>
        </w:rPr>
        <w:t>Конечно, уровень соблюдения фондом принимаемых на себя добровольных обязательств в первую очередь зависит от внутренних установок руководства фонда и его сотрудников, их готовности обеспечить действительный контроль за деятельностью агентов, и именно эта готовность является залогом предупреждения любых фальсификаций с заявлениями застрахованных лиц</w:t>
      </w:r>
      <w:r w:rsidR="009F07DA">
        <w:rPr>
          <w:rFonts w:ascii="Arial" w:hAnsi="Arial"/>
          <w:sz w:val="22"/>
        </w:rPr>
        <w:t xml:space="preserve">, однако </w:t>
      </w:r>
      <w:r w:rsidR="007A33D9">
        <w:rPr>
          <w:rFonts w:ascii="Arial" w:hAnsi="Arial"/>
          <w:sz w:val="22"/>
        </w:rPr>
        <w:t>разработанный</w:t>
      </w:r>
      <w:r w:rsidR="009F07DA">
        <w:rPr>
          <w:rFonts w:ascii="Arial" w:hAnsi="Arial"/>
          <w:sz w:val="22"/>
        </w:rPr>
        <w:t xml:space="preserve"> комплекс мер, </w:t>
      </w:r>
      <w:r w:rsidR="007A33D9">
        <w:rPr>
          <w:rFonts w:ascii="Arial" w:hAnsi="Arial"/>
          <w:sz w:val="22"/>
        </w:rPr>
        <w:t>по предупреждению жалоб граждан и анализу причин их поведения, описанный в основной части отчета показал эффективность принятых мер. Существенное снижение количества жалоб застрахованных лиц (в 4,67 раза по сравнению с уровнем 2011 года) отмечено и в годовом отчете Пенсионного фонда России за 2012 год.</w:t>
      </w:r>
    </w:p>
    <w:p w:rsidR="007D02B1" w:rsidRDefault="007D02B1" w:rsidP="009A29E9">
      <w:pPr>
        <w:ind w:firstLine="709"/>
        <w:jc w:val="both"/>
        <w:rPr>
          <w:rFonts w:ascii="Arial" w:hAnsi="Arial"/>
          <w:sz w:val="22"/>
        </w:rPr>
      </w:pPr>
    </w:p>
    <w:p w:rsidR="00BF174B" w:rsidRPr="00BE7208" w:rsidRDefault="009F07DA" w:rsidP="009A29E9">
      <w:pPr>
        <w:ind w:firstLine="709"/>
        <w:jc w:val="both"/>
        <w:rPr>
          <w:rFonts w:ascii="Arial" w:hAnsi="Arial"/>
          <w:b/>
          <w:sz w:val="22"/>
        </w:rPr>
      </w:pPr>
      <w:r>
        <w:rPr>
          <w:rFonts w:ascii="Arial" w:hAnsi="Arial"/>
          <w:b/>
          <w:sz w:val="22"/>
        </w:rPr>
        <w:t>5</w:t>
      </w:r>
      <w:r w:rsidR="00BF174B" w:rsidRPr="00BE7208">
        <w:rPr>
          <w:rFonts w:ascii="Arial" w:hAnsi="Arial"/>
          <w:b/>
          <w:sz w:val="22"/>
        </w:rPr>
        <w:t>. Деятельность НПФ по реализации Федерального закона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p>
    <w:p w:rsidR="00BF174B" w:rsidRPr="009A29E9" w:rsidRDefault="00BF174B"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r w:rsidRPr="009A29E9">
        <w:rPr>
          <w:rFonts w:ascii="Arial" w:hAnsi="Arial"/>
          <w:sz w:val="22"/>
        </w:rPr>
        <w:t xml:space="preserve">Важным этапом развития пенсионной системы России стало принятие Федерального закона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который вступил в силу 1 октября 2008 г. </w:t>
      </w:r>
    </w:p>
    <w:p w:rsidR="00BF174B" w:rsidRPr="009A29E9" w:rsidRDefault="00EA3756" w:rsidP="009A29E9">
      <w:pPr>
        <w:ind w:firstLine="709"/>
        <w:jc w:val="both"/>
        <w:rPr>
          <w:rFonts w:ascii="Arial" w:hAnsi="Arial"/>
          <w:sz w:val="22"/>
        </w:rPr>
      </w:pPr>
      <w:r w:rsidRPr="00CA0F24">
        <w:rPr>
          <w:rFonts w:ascii="Arial" w:hAnsi="Arial"/>
          <w:sz w:val="22"/>
        </w:rPr>
        <w:t>С 1</w:t>
      </w:r>
      <w:r w:rsidR="00BF174B" w:rsidRPr="00CA0F24">
        <w:rPr>
          <w:rFonts w:ascii="Arial" w:hAnsi="Arial"/>
          <w:sz w:val="22"/>
        </w:rPr>
        <w:t xml:space="preserve"> </w:t>
      </w:r>
      <w:r w:rsidRPr="00CA0F24">
        <w:rPr>
          <w:rFonts w:ascii="Arial" w:hAnsi="Arial"/>
          <w:sz w:val="22"/>
        </w:rPr>
        <w:t xml:space="preserve">октября </w:t>
      </w:r>
      <w:r w:rsidR="00BF174B" w:rsidRPr="00CA0F24">
        <w:rPr>
          <w:rFonts w:ascii="Arial" w:hAnsi="Arial"/>
          <w:sz w:val="22"/>
        </w:rPr>
        <w:t xml:space="preserve"> 201</w:t>
      </w:r>
      <w:r w:rsidRPr="00CA0F24">
        <w:rPr>
          <w:rFonts w:ascii="Arial" w:hAnsi="Arial"/>
          <w:sz w:val="22"/>
        </w:rPr>
        <w:t>3</w:t>
      </w:r>
      <w:r w:rsidR="00BF174B" w:rsidRPr="00CA0F24">
        <w:rPr>
          <w:rFonts w:ascii="Arial" w:hAnsi="Arial"/>
          <w:sz w:val="22"/>
        </w:rPr>
        <w:t xml:space="preserve"> года </w:t>
      </w:r>
      <w:r w:rsidRPr="00CA0F24">
        <w:rPr>
          <w:rFonts w:ascii="Arial" w:hAnsi="Arial"/>
          <w:sz w:val="22"/>
        </w:rPr>
        <w:t>заканчивается период, в течение которого граждане имеют возможность вступить в отношения по обязательному пенсионному страхованию в целях уплаты дополнительных страховых взносов на накопительную часть трудовой пенсии (</w:t>
      </w:r>
      <w:r w:rsidR="0057548C" w:rsidRPr="00CA0F24">
        <w:rPr>
          <w:rFonts w:ascii="Arial" w:hAnsi="Arial"/>
          <w:sz w:val="22"/>
        </w:rPr>
        <w:t>программа государственного софинансирования)</w:t>
      </w:r>
      <w:r w:rsidRPr="00CA0F24">
        <w:rPr>
          <w:rFonts w:ascii="Arial" w:hAnsi="Arial"/>
          <w:sz w:val="22"/>
        </w:rPr>
        <w:t xml:space="preserve">. </w:t>
      </w:r>
      <w:r w:rsidR="00F94C3B" w:rsidRPr="00CA0F24">
        <w:rPr>
          <w:rFonts w:ascii="Arial" w:hAnsi="Arial"/>
          <w:sz w:val="22"/>
        </w:rPr>
        <w:t xml:space="preserve">После 1 октября 2013 года вступление </w:t>
      </w:r>
      <w:r w:rsidR="00F94C3B" w:rsidRPr="00CA0F24">
        <w:rPr>
          <w:rFonts w:ascii="Arial" w:hAnsi="Arial"/>
          <w:sz w:val="22"/>
        </w:rPr>
        <w:lastRenderedPageBreak/>
        <w:t>в программу прекращается. Обязательства государства по выплате государственного софинансирования продолжаются для каждого участника в течение 10 лет после его вступления в Программу.</w:t>
      </w:r>
    </w:p>
    <w:p w:rsidR="00FE5257" w:rsidRDefault="00BF174B" w:rsidP="009A29E9">
      <w:pPr>
        <w:ind w:firstLine="709"/>
        <w:jc w:val="both"/>
        <w:rPr>
          <w:rFonts w:ascii="Arial" w:hAnsi="Arial"/>
          <w:sz w:val="22"/>
        </w:rPr>
      </w:pPr>
      <w:r w:rsidRPr="009A29E9">
        <w:rPr>
          <w:rFonts w:ascii="Arial" w:hAnsi="Arial"/>
          <w:sz w:val="22"/>
        </w:rPr>
        <w:t xml:space="preserve">По данным Пенсионного фонда России </w:t>
      </w:r>
      <w:r w:rsidR="00C37794">
        <w:rPr>
          <w:rFonts w:ascii="Arial" w:hAnsi="Arial"/>
          <w:sz w:val="22"/>
        </w:rPr>
        <w:t xml:space="preserve">в течение 2012 года </w:t>
      </w:r>
      <w:r w:rsidR="00FE5257">
        <w:rPr>
          <w:rFonts w:ascii="Arial" w:hAnsi="Arial"/>
          <w:sz w:val="22"/>
        </w:rPr>
        <w:t xml:space="preserve">в программу государственного софинансирования вступили 4,1 миллиона человек. Общее число </w:t>
      </w:r>
      <w:r w:rsidRPr="009A29E9">
        <w:rPr>
          <w:rFonts w:ascii="Arial" w:hAnsi="Arial"/>
          <w:sz w:val="22"/>
        </w:rPr>
        <w:t>заявлени</w:t>
      </w:r>
      <w:r w:rsidR="00FE5257">
        <w:rPr>
          <w:rFonts w:ascii="Arial" w:hAnsi="Arial"/>
          <w:sz w:val="22"/>
        </w:rPr>
        <w:t>й</w:t>
      </w:r>
      <w:r w:rsidRPr="009A29E9">
        <w:rPr>
          <w:rFonts w:ascii="Arial" w:hAnsi="Arial"/>
          <w:sz w:val="22"/>
        </w:rPr>
        <w:t xml:space="preserve"> о вступлении в пр</w:t>
      </w:r>
      <w:r w:rsidR="0057548C">
        <w:rPr>
          <w:rFonts w:ascii="Arial" w:hAnsi="Arial"/>
          <w:sz w:val="22"/>
        </w:rPr>
        <w:t xml:space="preserve">ограмму государственного софинансирования </w:t>
      </w:r>
      <w:r w:rsidR="00FE5257" w:rsidRPr="00FE5257">
        <w:rPr>
          <w:rFonts w:ascii="Arial" w:hAnsi="Arial"/>
          <w:sz w:val="22"/>
        </w:rPr>
        <w:t xml:space="preserve">за время действия программы </w:t>
      </w:r>
      <w:r w:rsidR="00FE5257">
        <w:rPr>
          <w:rFonts w:ascii="Arial" w:hAnsi="Arial"/>
          <w:sz w:val="22"/>
        </w:rPr>
        <w:t xml:space="preserve">составило </w:t>
      </w:r>
      <w:r w:rsidR="0057548C">
        <w:rPr>
          <w:rFonts w:ascii="Arial" w:hAnsi="Arial"/>
          <w:sz w:val="22"/>
        </w:rPr>
        <w:t>10,6</w:t>
      </w:r>
      <w:r w:rsidRPr="009A29E9">
        <w:rPr>
          <w:rFonts w:ascii="Arial" w:hAnsi="Arial"/>
          <w:sz w:val="22"/>
        </w:rPr>
        <w:t xml:space="preserve"> </w:t>
      </w:r>
      <w:r w:rsidR="0057548C">
        <w:rPr>
          <w:rFonts w:ascii="Arial" w:hAnsi="Arial"/>
          <w:sz w:val="22"/>
        </w:rPr>
        <w:t>млн</w:t>
      </w:r>
      <w:r w:rsidRPr="009A29E9">
        <w:rPr>
          <w:rFonts w:ascii="Arial" w:hAnsi="Arial"/>
          <w:sz w:val="22"/>
        </w:rPr>
        <w:t xml:space="preserve">. </w:t>
      </w:r>
      <w:r w:rsidR="00FE5257">
        <w:rPr>
          <w:rFonts w:ascii="Arial" w:hAnsi="Arial"/>
          <w:sz w:val="22"/>
        </w:rPr>
        <w:t>человек</w:t>
      </w:r>
      <w:r w:rsidRPr="009A29E9">
        <w:rPr>
          <w:rFonts w:ascii="Arial" w:hAnsi="Arial"/>
          <w:sz w:val="22"/>
        </w:rPr>
        <w:t xml:space="preserve"> (около </w:t>
      </w:r>
      <w:r w:rsidR="00F94C3B">
        <w:rPr>
          <w:rFonts w:ascii="Arial" w:hAnsi="Arial"/>
          <w:sz w:val="22"/>
        </w:rPr>
        <w:t>1</w:t>
      </w:r>
      <w:r w:rsidR="0057548C">
        <w:rPr>
          <w:rFonts w:ascii="Arial" w:hAnsi="Arial"/>
          <w:sz w:val="22"/>
        </w:rPr>
        <w:t>5</w:t>
      </w:r>
      <w:r w:rsidRPr="009A29E9">
        <w:rPr>
          <w:rFonts w:ascii="Arial" w:hAnsi="Arial"/>
          <w:sz w:val="22"/>
        </w:rPr>
        <w:t xml:space="preserve">% занятого в экономике населения). </w:t>
      </w:r>
    </w:p>
    <w:p w:rsidR="001F049B" w:rsidRDefault="00FE5257" w:rsidP="009A29E9">
      <w:pPr>
        <w:ind w:firstLine="709"/>
        <w:jc w:val="both"/>
        <w:rPr>
          <w:rFonts w:ascii="Arial" w:hAnsi="Arial"/>
          <w:sz w:val="22"/>
        </w:rPr>
      </w:pPr>
      <w:r w:rsidRPr="00FE5257">
        <w:rPr>
          <w:rFonts w:ascii="Arial" w:hAnsi="Arial"/>
          <w:sz w:val="22"/>
        </w:rPr>
        <w:t xml:space="preserve">В течение 2012 года </w:t>
      </w:r>
      <w:r>
        <w:rPr>
          <w:rFonts w:ascii="Arial" w:hAnsi="Arial"/>
          <w:sz w:val="22"/>
        </w:rPr>
        <w:t xml:space="preserve">2116 тыс. человек </w:t>
      </w:r>
      <w:r w:rsidR="001F049B">
        <w:rPr>
          <w:rFonts w:ascii="Arial" w:hAnsi="Arial"/>
          <w:sz w:val="22"/>
        </w:rPr>
        <w:t>(</w:t>
      </w:r>
      <w:r w:rsidR="001F049B" w:rsidRPr="001F049B">
        <w:rPr>
          <w:rFonts w:ascii="Arial" w:hAnsi="Arial"/>
          <w:sz w:val="22"/>
        </w:rPr>
        <w:t xml:space="preserve">51,6% всех вступивших </w:t>
      </w:r>
      <w:r w:rsidR="001F049B">
        <w:rPr>
          <w:rFonts w:ascii="Arial" w:hAnsi="Arial"/>
          <w:sz w:val="22"/>
        </w:rPr>
        <w:t>в Программу)</w:t>
      </w:r>
      <w:r>
        <w:rPr>
          <w:rFonts w:ascii="Arial" w:hAnsi="Arial"/>
          <w:sz w:val="22"/>
        </w:rPr>
        <w:t xml:space="preserve"> </w:t>
      </w:r>
      <w:r w:rsidRPr="00FE5257">
        <w:rPr>
          <w:rFonts w:ascii="Arial" w:hAnsi="Arial"/>
          <w:sz w:val="22"/>
        </w:rPr>
        <w:t xml:space="preserve">одновременно с заявлением о переходе из Пенсионного фонда России в НПФ </w:t>
      </w:r>
      <w:r>
        <w:rPr>
          <w:rFonts w:ascii="Arial" w:hAnsi="Arial"/>
          <w:sz w:val="22"/>
        </w:rPr>
        <w:t xml:space="preserve">подали заявление о вступлении в программу государственного софинансирования. </w:t>
      </w:r>
      <w:r w:rsidR="001F049B">
        <w:rPr>
          <w:rFonts w:ascii="Arial" w:hAnsi="Arial"/>
          <w:sz w:val="22"/>
        </w:rPr>
        <w:t>Эта</w:t>
      </w:r>
      <w:r w:rsidR="001F049B" w:rsidRPr="001F049B">
        <w:rPr>
          <w:rFonts w:ascii="Arial" w:hAnsi="Arial"/>
          <w:sz w:val="22"/>
        </w:rPr>
        <w:t xml:space="preserve"> цифр</w:t>
      </w:r>
      <w:r w:rsidR="001F049B">
        <w:rPr>
          <w:rFonts w:ascii="Arial" w:hAnsi="Arial"/>
          <w:sz w:val="22"/>
        </w:rPr>
        <w:t>а</w:t>
      </w:r>
      <w:r w:rsidR="001F049B" w:rsidRPr="001F049B">
        <w:rPr>
          <w:rFonts w:ascii="Arial" w:hAnsi="Arial"/>
          <w:sz w:val="22"/>
        </w:rPr>
        <w:t xml:space="preserve"> подтвержда</w:t>
      </w:r>
      <w:r w:rsidR="001F049B">
        <w:rPr>
          <w:rFonts w:ascii="Arial" w:hAnsi="Arial"/>
          <w:sz w:val="22"/>
        </w:rPr>
        <w:t>е</w:t>
      </w:r>
      <w:r w:rsidR="001F049B" w:rsidRPr="001F049B">
        <w:rPr>
          <w:rFonts w:ascii="Arial" w:hAnsi="Arial"/>
          <w:sz w:val="22"/>
        </w:rPr>
        <w:t xml:space="preserve">т вывод, что негосударственные пенсионные фонды выбирает </w:t>
      </w:r>
      <w:r w:rsidR="00C37794">
        <w:rPr>
          <w:rFonts w:ascii="Arial" w:hAnsi="Arial"/>
          <w:sz w:val="22"/>
        </w:rPr>
        <w:t xml:space="preserve">прежде всего </w:t>
      </w:r>
      <w:r w:rsidR="001F049B" w:rsidRPr="001F049B">
        <w:rPr>
          <w:rFonts w:ascii="Arial" w:hAnsi="Arial"/>
          <w:sz w:val="22"/>
        </w:rPr>
        <w:t xml:space="preserve">та часть населения, которая наиболее осознанно относится к формированию накопительной части своей трудовой пенсии. </w:t>
      </w:r>
    </w:p>
    <w:p w:rsidR="00BF174B" w:rsidRPr="009A29E9" w:rsidRDefault="00FE5257" w:rsidP="009A29E9">
      <w:pPr>
        <w:ind w:firstLine="709"/>
        <w:jc w:val="both"/>
        <w:rPr>
          <w:rFonts w:ascii="Arial" w:hAnsi="Arial"/>
          <w:sz w:val="22"/>
        </w:rPr>
      </w:pPr>
      <w:r>
        <w:rPr>
          <w:rFonts w:ascii="Arial" w:hAnsi="Arial"/>
          <w:sz w:val="22"/>
        </w:rPr>
        <w:t>У</w:t>
      </w:r>
      <w:r w:rsidRPr="00FE5257">
        <w:rPr>
          <w:rFonts w:ascii="Arial" w:hAnsi="Arial"/>
          <w:sz w:val="22"/>
        </w:rPr>
        <w:t xml:space="preserve">слугой по оформлению заявления о вступлении в </w:t>
      </w:r>
      <w:r>
        <w:rPr>
          <w:rFonts w:ascii="Arial" w:hAnsi="Arial"/>
          <w:sz w:val="22"/>
        </w:rPr>
        <w:t>П</w:t>
      </w:r>
      <w:r w:rsidRPr="00FE5257">
        <w:rPr>
          <w:rFonts w:ascii="Arial" w:hAnsi="Arial"/>
          <w:sz w:val="22"/>
        </w:rPr>
        <w:t xml:space="preserve">рограмму </w:t>
      </w:r>
      <w:r>
        <w:rPr>
          <w:rFonts w:ascii="Arial" w:hAnsi="Arial"/>
          <w:sz w:val="22"/>
        </w:rPr>
        <w:t xml:space="preserve">через портал госуслуг, </w:t>
      </w:r>
      <w:r w:rsidR="00DB3987">
        <w:rPr>
          <w:rFonts w:ascii="Arial" w:hAnsi="Arial"/>
          <w:sz w:val="22"/>
        </w:rPr>
        <w:t>предостав</w:t>
      </w:r>
      <w:r>
        <w:rPr>
          <w:rFonts w:ascii="Arial" w:hAnsi="Arial"/>
          <w:sz w:val="22"/>
        </w:rPr>
        <w:t>ляемой Пенсионным фондом России, воспользовались 4895 человек.</w:t>
      </w:r>
    </w:p>
    <w:p w:rsidR="00BF174B" w:rsidRPr="009A29E9" w:rsidRDefault="00BF174B" w:rsidP="009A29E9">
      <w:pPr>
        <w:ind w:firstLine="709"/>
        <w:jc w:val="both"/>
        <w:rPr>
          <w:rFonts w:ascii="Arial" w:hAnsi="Arial"/>
          <w:sz w:val="22"/>
        </w:rPr>
      </w:pPr>
    </w:p>
    <w:p w:rsidR="000E468E" w:rsidRDefault="000E468E" w:rsidP="009A29E9">
      <w:pPr>
        <w:ind w:firstLine="709"/>
        <w:jc w:val="both"/>
        <w:rPr>
          <w:rFonts w:ascii="Arial" w:hAnsi="Arial"/>
          <w:sz w:val="22"/>
        </w:rPr>
      </w:pPr>
      <w:r w:rsidRPr="000E468E">
        <w:rPr>
          <w:rFonts w:ascii="Arial" w:hAnsi="Arial"/>
          <w:sz w:val="22"/>
        </w:rPr>
        <w:t>В течение 201</w:t>
      </w:r>
      <w:r w:rsidR="0057548C">
        <w:rPr>
          <w:rFonts w:ascii="Arial" w:hAnsi="Arial"/>
          <w:sz w:val="22"/>
        </w:rPr>
        <w:t>2</w:t>
      </w:r>
      <w:r w:rsidRPr="000E468E">
        <w:rPr>
          <w:rFonts w:ascii="Arial" w:hAnsi="Arial"/>
          <w:sz w:val="22"/>
        </w:rPr>
        <w:t xml:space="preserve"> года поступило </w:t>
      </w:r>
      <w:r w:rsidR="0057548C">
        <w:rPr>
          <w:rFonts w:ascii="Arial" w:hAnsi="Arial"/>
          <w:sz w:val="22"/>
        </w:rPr>
        <w:t>6,2</w:t>
      </w:r>
      <w:r>
        <w:rPr>
          <w:rFonts w:ascii="Arial" w:hAnsi="Arial"/>
          <w:sz w:val="22"/>
        </w:rPr>
        <w:t xml:space="preserve"> </w:t>
      </w:r>
      <w:r w:rsidRPr="000E468E">
        <w:rPr>
          <w:rFonts w:ascii="Arial" w:hAnsi="Arial"/>
          <w:sz w:val="22"/>
        </w:rPr>
        <w:t xml:space="preserve"> мл</w:t>
      </w:r>
      <w:r>
        <w:rPr>
          <w:rFonts w:ascii="Arial" w:hAnsi="Arial"/>
          <w:sz w:val="22"/>
        </w:rPr>
        <w:t>рд</w:t>
      </w:r>
      <w:r w:rsidRPr="000E468E">
        <w:rPr>
          <w:rFonts w:ascii="Arial" w:hAnsi="Arial"/>
          <w:sz w:val="22"/>
        </w:rPr>
        <w:t xml:space="preserve">. рублей </w:t>
      </w:r>
      <w:r w:rsidR="00C37794">
        <w:rPr>
          <w:rFonts w:ascii="Arial" w:hAnsi="Arial"/>
          <w:sz w:val="22"/>
        </w:rPr>
        <w:t xml:space="preserve">добровольных страховых </w:t>
      </w:r>
      <w:r w:rsidRPr="000E468E">
        <w:rPr>
          <w:rFonts w:ascii="Arial" w:hAnsi="Arial"/>
          <w:sz w:val="22"/>
        </w:rPr>
        <w:t xml:space="preserve">взносов, из них </w:t>
      </w:r>
      <w:r w:rsidR="00DB3987">
        <w:rPr>
          <w:rFonts w:ascii="Arial" w:hAnsi="Arial"/>
          <w:sz w:val="22"/>
        </w:rPr>
        <w:t>126,1</w:t>
      </w:r>
      <w:r w:rsidRPr="000E468E">
        <w:rPr>
          <w:rFonts w:ascii="Arial" w:hAnsi="Arial"/>
          <w:sz w:val="22"/>
        </w:rPr>
        <w:t xml:space="preserve"> млн. рублей – взносы работодателей. Размер среднего взноса </w:t>
      </w:r>
      <w:r w:rsidR="00DB3987">
        <w:rPr>
          <w:rFonts w:ascii="Arial" w:hAnsi="Arial"/>
          <w:sz w:val="22"/>
        </w:rPr>
        <w:t xml:space="preserve">по сравнению с предыдущими годами резко вырос и составил 11939 рублей, против </w:t>
      </w:r>
      <w:r w:rsidRPr="000E468E">
        <w:rPr>
          <w:rFonts w:ascii="Arial" w:hAnsi="Arial"/>
          <w:sz w:val="22"/>
        </w:rPr>
        <w:t xml:space="preserve">4404 рубля в 2010 году </w:t>
      </w:r>
      <w:r w:rsidR="00DB3987">
        <w:rPr>
          <w:rFonts w:ascii="Arial" w:hAnsi="Arial"/>
          <w:sz w:val="22"/>
        </w:rPr>
        <w:t xml:space="preserve">и 5970 в 2011 году. Это означает, что из 10,6 млн. человек, вступивших в Программу, в 2012 году реально вносили взносы 519,3 тыс. человек. </w:t>
      </w:r>
    </w:p>
    <w:p w:rsidR="000E468E" w:rsidRPr="009A29E9" w:rsidRDefault="000E468E" w:rsidP="009A29E9">
      <w:pPr>
        <w:ind w:firstLine="709"/>
        <w:jc w:val="both"/>
        <w:rPr>
          <w:rFonts w:ascii="Arial" w:hAnsi="Arial"/>
          <w:sz w:val="22"/>
        </w:rPr>
      </w:pPr>
      <w:r>
        <w:rPr>
          <w:rFonts w:ascii="Arial" w:hAnsi="Arial"/>
          <w:sz w:val="22"/>
        </w:rPr>
        <w:t xml:space="preserve">Сведения о размерах среднего взноса, сумме поступивших взносов и числе плательщиков приведены на диаграммах </w:t>
      </w:r>
      <w:r w:rsidR="007F38A6">
        <w:rPr>
          <w:rFonts w:ascii="Arial" w:hAnsi="Arial"/>
          <w:sz w:val="22"/>
        </w:rPr>
        <w:t>10</w:t>
      </w:r>
      <w:r>
        <w:rPr>
          <w:rFonts w:ascii="Arial" w:hAnsi="Arial"/>
          <w:sz w:val="22"/>
        </w:rPr>
        <w:t xml:space="preserve"> и 1</w:t>
      </w:r>
      <w:r w:rsidR="007F38A6">
        <w:rPr>
          <w:rFonts w:ascii="Arial" w:hAnsi="Arial"/>
          <w:sz w:val="22"/>
        </w:rPr>
        <w:t>1</w:t>
      </w:r>
      <w:r>
        <w:rPr>
          <w:rFonts w:ascii="Arial" w:hAnsi="Arial"/>
          <w:sz w:val="22"/>
        </w:rPr>
        <w:t xml:space="preserve">. </w:t>
      </w:r>
    </w:p>
    <w:p w:rsidR="00E32054" w:rsidRDefault="00E32054" w:rsidP="009A29E9">
      <w:pPr>
        <w:ind w:firstLine="709"/>
        <w:jc w:val="both"/>
        <w:rPr>
          <w:rFonts w:ascii="Arial" w:hAnsi="Arial"/>
          <w:sz w:val="22"/>
        </w:rPr>
      </w:pPr>
    </w:p>
    <w:p w:rsidR="00BF174B" w:rsidRPr="009A29E9" w:rsidRDefault="00BF174B" w:rsidP="009A29E9">
      <w:pPr>
        <w:ind w:firstLine="709"/>
        <w:jc w:val="both"/>
        <w:rPr>
          <w:rFonts w:ascii="Arial" w:hAnsi="Arial"/>
          <w:sz w:val="22"/>
        </w:rPr>
      </w:pPr>
      <w:r w:rsidRPr="009A29E9">
        <w:rPr>
          <w:rFonts w:ascii="Arial" w:hAnsi="Arial"/>
          <w:sz w:val="22"/>
        </w:rPr>
        <w:t>Программа государственного софинансирования так и не нашла поддержки у работодателей (по данным ПФР России доля взносов работодателей в общей сумме взносов на ДСВ в 201</w:t>
      </w:r>
      <w:r w:rsidR="001F049B">
        <w:rPr>
          <w:rFonts w:ascii="Arial" w:hAnsi="Arial"/>
          <w:sz w:val="22"/>
        </w:rPr>
        <w:t>2</w:t>
      </w:r>
      <w:r w:rsidRPr="009A29E9">
        <w:rPr>
          <w:rFonts w:ascii="Arial" w:hAnsi="Arial"/>
          <w:sz w:val="22"/>
        </w:rPr>
        <w:t xml:space="preserve"> г. не превысила </w:t>
      </w:r>
      <w:r w:rsidR="001F049B">
        <w:rPr>
          <w:rFonts w:ascii="Arial" w:hAnsi="Arial"/>
          <w:sz w:val="22"/>
        </w:rPr>
        <w:t>2</w:t>
      </w:r>
      <w:r w:rsidRPr="009A29E9">
        <w:rPr>
          <w:rFonts w:ascii="Arial" w:hAnsi="Arial"/>
          <w:sz w:val="22"/>
        </w:rPr>
        <w:t>%) прежде всего потому, что не предоставляет работодателю реальных стимулов управления кадрами.</w:t>
      </w:r>
    </w:p>
    <w:p w:rsidR="00E32054" w:rsidRDefault="00E32054" w:rsidP="009A29E9">
      <w:pPr>
        <w:ind w:firstLine="709"/>
        <w:jc w:val="both"/>
        <w:rPr>
          <w:rFonts w:ascii="Arial" w:hAnsi="Arial"/>
          <w:sz w:val="22"/>
        </w:rPr>
      </w:pPr>
    </w:p>
    <w:p w:rsidR="00616EC1" w:rsidRPr="009A29E9" w:rsidRDefault="00907E81" w:rsidP="009A29E9">
      <w:pPr>
        <w:ind w:firstLine="709"/>
        <w:jc w:val="both"/>
        <w:rPr>
          <w:rFonts w:ascii="Arial" w:hAnsi="Arial"/>
          <w:sz w:val="22"/>
        </w:rPr>
      </w:pPr>
      <w:r>
        <w:rPr>
          <w:rFonts w:ascii="Arial" w:hAnsi="Arial"/>
          <w:sz w:val="22"/>
        </w:rPr>
        <w:t>Н</w:t>
      </w:r>
      <w:r w:rsidR="00AC0E18" w:rsidRPr="00575020">
        <w:rPr>
          <w:rFonts w:ascii="Arial" w:hAnsi="Arial"/>
          <w:sz w:val="22"/>
        </w:rPr>
        <w:t xml:space="preserve">е получило распространения и привлечение материнского (семейного) капитала в качестве источника формирования накопительной части трудовой пенсии. </w:t>
      </w:r>
      <w:r w:rsidR="00575020" w:rsidRPr="00575020">
        <w:rPr>
          <w:rFonts w:ascii="Arial" w:hAnsi="Arial"/>
          <w:sz w:val="22"/>
        </w:rPr>
        <w:t xml:space="preserve">Из </w:t>
      </w:r>
      <w:r w:rsidR="000773D0" w:rsidRPr="00575020">
        <w:rPr>
          <w:rFonts w:ascii="Arial" w:hAnsi="Arial"/>
          <w:sz w:val="22"/>
        </w:rPr>
        <w:t xml:space="preserve">почти </w:t>
      </w:r>
      <w:r>
        <w:rPr>
          <w:rFonts w:ascii="Arial" w:hAnsi="Arial"/>
          <w:sz w:val="22"/>
        </w:rPr>
        <w:t>656,2</w:t>
      </w:r>
      <w:r w:rsidR="000773D0" w:rsidRPr="00575020">
        <w:rPr>
          <w:rFonts w:ascii="Arial" w:hAnsi="Arial"/>
          <w:sz w:val="22"/>
        </w:rPr>
        <w:t xml:space="preserve"> тысяч заявок от семей, определившихся </w:t>
      </w:r>
      <w:r>
        <w:rPr>
          <w:rFonts w:ascii="Arial" w:hAnsi="Arial"/>
          <w:sz w:val="22"/>
        </w:rPr>
        <w:t xml:space="preserve">в 2012 году </w:t>
      </w:r>
      <w:r w:rsidR="000773D0" w:rsidRPr="00575020">
        <w:rPr>
          <w:rFonts w:ascii="Arial" w:hAnsi="Arial"/>
          <w:sz w:val="22"/>
        </w:rPr>
        <w:t>с основным направлением расходования средств материнского капитала</w:t>
      </w:r>
      <w:r w:rsidR="00575020" w:rsidRPr="00575020">
        <w:rPr>
          <w:rFonts w:ascii="Arial" w:hAnsi="Arial"/>
          <w:sz w:val="22"/>
        </w:rPr>
        <w:t xml:space="preserve">, только </w:t>
      </w:r>
      <w:r>
        <w:rPr>
          <w:rFonts w:ascii="Arial" w:hAnsi="Arial"/>
          <w:sz w:val="22"/>
        </w:rPr>
        <w:t>565</w:t>
      </w:r>
      <w:r w:rsidR="00575020" w:rsidRPr="00575020">
        <w:rPr>
          <w:rFonts w:ascii="Arial" w:hAnsi="Arial"/>
          <w:sz w:val="22"/>
        </w:rPr>
        <w:t xml:space="preserve"> женщин </w:t>
      </w:r>
      <w:r w:rsidR="00E32054">
        <w:rPr>
          <w:rFonts w:ascii="Arial" w:hAnsi="Arial"/>
          <w:sz w:val="22"/>
        </w:rPr>
        <w:t>(0,</w:t>
      </w:r>
      <w:r>
        <w:rPr>
          <w:rFonts w:ascii="Arial" w:hAnsi="Arial"/>
          <w:sz w:val="22"/>
        </w:rPr>
        <w:t>086</w:t>
      </w:r>
      <w:r w:rsidR="00E32054">
        <w:rPr>
          <w:rFonts w:ascii="Arial" w:hAnsi="Arial"/>
          <w:sz w:val="22"/>
        </w:rPr>
        <w:t xml:space="preserve">%) </w:t>
      </w:r>
      <w:r w:rsidR="00575020" w:rsidRPr="00575020">
        <w:rPr>
          <w:rFonts w:ascii="Arial" w:hAnsi="Arial"/>
          <w:sz w:val="22"/>
        </w:rPr>
        <w:t>направили эти средства на формирование накопительной части трудовой пенсии</w:t>
      </w:r>
      <w:r w:rsidR="000773D0" w:rsidRPr="00575020">
        <w:rPr>
          <w:rFonts w:ascii="Arial" w:hAnsi="Arial"/>
          <w:sz w:val="22"/>
        </w:rPr>
        <w:t xml:space="preserve">. </w:t>
      </w:r>
    </w:p>
    <w:sectPr w:rsidR="00616EC1" w:rsidRPr="009A29E9">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280" w:rsidRDefault="00A77280" w:rsidP="00103DF6">
      <w:r>
        <w:separator/>
      </w:r>
    </w:p>
  </w:endnote>
  <w:endnote w:type="continuationSeparator" w:id="0">
    <w:p w:rsidR="00A77280" w:rsidRDefault="00A77280" w:rsidP="00103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280" w:rsidRDefault="00A77280" w:rsidP="00103DF6">
      <w:r>
        <w:separator/>
      </w:r>
    </w:p>
  </w:footnote>
  <w:footnote w:type="continuationSeparator" w:id="0">
    <w:p w:rsidR="00A77280" w:rsidRDefault="00A77280" w:rsidP="00103DF6">
      <w:r>
        <w:continuationSeparator/>
      </w:r>
    </w:p>
  </w:footnote>
  <w:footnote w:id="1">
    <w:p w:rsidR="00B24621" w:rsidRPr="00103DF6" w:rsidRDefault="00B24621">
      <w:pPr>
        <w:pStyle w:val="a4"/>
        <w:rPr>
          <w:rFonts w:ascii="Arial" w:hAnsi="Arial" w:cs="Arial"/>
          <w:sz w:val="16"/>
          <w:szCs w:val="16"/>
        </w:rPr>
      </w:pPr>
      <w:r>
        <w:rPr>
          <w:rStyle w:val="a6"/>
        </w:rPr>
        <w:footnoteRef/>
      </w:r>
      <w:r>
        <w:t xml:space="preserve"> </w:t>
      </w:r>
      <w:r w:rsidRPr="00103DF6">
        <w:rPr>
          <w:rFonts w:ascii="Arial" w:hAnsi="Arial" w:cs="Arial"/>
          <w:sz w:val="16"/>
          <w:szCs w:val="16"/>
        </w:rPr>
        <w:t>В приведенных ФСФР России данных на 1.01.201</w:t>
      </w:r>
      <w:r>
        <w:rPr>
          <w:rFonts w:ascii="Arial" w:hAnsi="Arial" w:cs="Arial"/>
          <w:sz w:val="16"/>
          <w:szCs w:val="16"/>
        </w:rPr>
        <w:t>3</w:t>
      </w:r>
      <w:r w:rsidRPr="00103DF6">
        <w:rPr>
          <w:rFonts w:ascii="Arial" w:hAnsi="Arial" w:cs="Arial"/>
          <w:sz w:val="16"/>
          <w:szCs w:val="16"/>
        </w:rPr>
        <w:t xml:space="preserve"> г. не учтены </w:t>
      </w:r>
      <w:r>
        <w:rPr>
          <w:rFonts w:ascii="Arial" w:hAnsi="Arial" w:cs="Arial"/>
          <w:sz w:val="16"/>
          <w:szCs w:val="16"/>
        </w:rPr>
        <w:t xml:space="preserve">все </w:t>
      </w:r>
      <w:r w:rsidRPr="00103DF6">
        <w:rPr>
          <w:rFonts w:ascii="Arial" w:hAnsi="Arial" w:cs="Arial"/>
          <w:sz w:val="16"/>
          <w:szCs w:val="16"/>
        </w:rPr>
        <w:t xml:space="preserve">застрахованные лица, пенсионные накопления которых </w:t>
      </w:r>
      <w:r w:rsidRPr="00073C55">
        <w:rPr>
          <w:rFonts w:ascii="Arial" w:hAnsi="Arial" w:cs="Arial"/>
          <w:sz w:val="16"/>
          <w:szCs w:val="16"/>
        </w:rPr>
        <w:t xml:space="preserve">по итогам 2012 года </w:t>
      </w:r>
      <w:r w:rsidRPr="00103DF6">
        <w:rPr>
          <w:rFonts w:ascii="Arial" w:hAnsi="Arial" w:cs="Arial"/>
          <w:sz w:val="16"/>
          <w:szCs w:val="16"/>
        </w:rPr>
        <w:t>переведены в НПФ в конце марта 201</w:t>
      </w:r>
      <w:r>
        <w:rPr>
          <w:rFonts w:ascii="Arial" w:hAnsi="Arial" w:cs="Arial"/>
          <w:sz w:val="16"/>
          <w:szCs w:val="16"/>
        </w:rPr>
        <w:t>3</w:t>
      </w:r>
      <w:r w:rsidRPr="00103DF6">
        <w:rPr>
          <w:rFonts w:ascii="Arial" w:hAnsi="Arial" w:cs="Arial"/>
          <w:sz w:val="16"/>
          <w:szCs w:val="16"/>
        </w:rPr>
        <w:t xml:space="preserve">  года. С учетом этих застрахованных лиц число клиентов негосударственных пенсионных фондов по ОПС на конец апреля </w:t>
      </w:r>
      <w:r>
        <w:rPr>
          <w:rFonts w:ascii="Arial" w:hAnsi="Arial" w:cs="Arial"/>
          <w:sz w:val="16"/>
          <w:szCs w:val="16"/>
        </w:rPr>
        <w:t xml:space="preserve">2013 года </w:t>
      </w:r>
      <w:r w:rsidRPr="00103DF6">
        <w:rPr>
          <w:rFonts w:ascii="Arial" w:hAnsi="Arial" w:cs="Arial"/>
          <w:sz w:val="16"/>
          <w:szCs w:val="16"/>
        </w:rPr>
        <w:t xml:space="preserve">составляет </w:t>
      </w:r>
      <w:r>
        <w:rPr>
          <w:rFonts w:ascii="Arial" w:hAnsi="Arial" w:cs="Arial"/>
          <w:b/>
          <w:sz w:val="16"/>
          <w:szCs w:val="16"/>
        </w:rPr>
        <w:t>20,0</w:t>
      </w:r>
      <w:r w:rsidRPr="004E50D4">
        <w:rPr>
          <w:rFonts w:ascii="Arial" w:hAnsi="Arial" w:cs="Arial"/>
          <w:b/>
          <w:sz w:val="16"/>
          <w:szCs w:val="16"/>
        </w:rPr>
        <w:t xml:space="preserve"> млн. человек,</w:t>
      </w:r>
      <w:r w:rsidRPr="00103DF6">
        <w:rPr>
          <w:rFonts w:ascii="Arial" w:hAnsi="Arial" w:cs="Arial"/>
          <w:sz w:val="16"/>
          <w:szCs w:val="16"/>
        </w:rPr>
        <w:t xml:space="preserve"> (2</w:t>
      </w:r>
      <w:r>
        <w:rPr>
          <w:rFonts w:ascii="Arial" w:hAnsi="Arial" w:cs="Arial"/>
          <w:sz w:val="16"/>
          <w:szCs w:val="16"/>
        </w:rPr>
        <w:t>6,0</w:t>
      </w:r>
      <w:r w:rsidRPr="00103DF6">
        <w:rPr>
          <w:rFonts w:ascii="Arial" w:hAnsi="Arial" w:cs="Arial"/>
          <w:sz w:val="16"/>
          <w:szCs w:val="16"/>
        </w:rPr>
        <w:t>% от 7</w:t>
      </w:r>
      <w:r>
        <w:rPr>
          <w:rFonts w:ascii="Arial" w:hAnsi="Arial" w:cs="Arial"/>
          <w:sz w:val="16"/>
          <w:szCs w:val="16"/>
        </w:rPr>
        <w:t>7,0</w:t>
      </w:r>
      <w:r w:rsidRPr="00103DF6">
        <w:rPr>
          <w:rFonts w:ascii="Arial" w:hAnsi="Arial" w:cs="Arial"/>
          <w:sz w:val="16"/>
          <w:szCs w:val="16"/>
        </w:rPr>
        <w:t xml:space="preserve"> млн. граждан, у которых формируются пенсионные накопления), а сумма пенсионных накоплений негосударственных пенсионных фондов превышает </w:t>
      </w:r>
      <w:r>
        <w:rPr>
          <w:rFonts w:ascii="Arial" w:hAnsi="Arial" w:cs="Arial"/>
          <w:sz w:val="16"/>
          <w:szCs w:val="16"/>
        </w:rPr>
        <w:t>760</w:t>
      </w:r>
      <w:r w:rsidRPr="00103DF6">
        <w:rPr>
          <w:rFonts w:ascii="Arial" w:hAnsi="Arial" w:cs="Arial"/>
          <w:sz w:val="16"/>
          <w:szCs w:val="16"/>
        </w:rPr>
        <w:t xml:space="preserve"> млрд. рублей</w:t>
      </w:r>
    </w:p>
  </w:footnote>
  <w:footnote w:id="2">
    <w:p w:rsidR="00B24621" w:rsidRDefault="00B24621">
      <w:pPr>
        <w:pStyle w:val="a4"/>
      </w:pPr>
      <w:r>
        <w:rPr>
          <w:rStyle w:val="a6"/>
        </w:rPr>
        <w:footnoteRef/>
      </w:r>
      <w:r>
        <w:t xml:space="preserve"> </w:t>
      </w:r>
      <w:r w:rsidRPr="003A658A">
        <w:t>Напомним, что многие фонды для компенсации отрицательных результатов инвестирования в 2008 году направили часть имущества для обеспечения уставной деятельности на покрытие отрицательных результатов инвестирования, в результате чего суммарный размер ИОУД на начало 2009 года по сравнению с началом 2008 года уменьшился на 18,7%</w:t>
      </w:r>
      <w:r>
        <w:t>.</w:t>
      </w:r>
      <w:r w:rsidRPr="003A658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655351"/>
      <w:docPartObj>
        <w:docPartGallery w:val="Page Numbers (Top of Page)"/>
        <w:docPartUnique/>
      </w:docPartObj>
    </w:sdtPr>
    <w:sdtEndPr/>
    <w:sdtContent>
      <w:p w:rsidR="00B24621" w:rsidRDefault="00B24621">
        <w:pPr>
          <w:pStyle w:val="a8"/>
          <w:jc w:val="center"/>
        </w:pPr>
        <w:r>
          <w:fldChar w:fldCharType="begin"/>
        </w:r>
        <w:r>
          <w:instrText>PAGE   \* MERGEFORMAT</w:instrText>
        </w:r>
        <w:r>
          <w:fldChar w:fldCharType="separate"/>
        </w:r>
        <w:r w:rsidR="00D26F6A">
          <w:rPr>
            <w:noProof/>
          </w:rPr>
          <w:t>1</w:t>
        </w:r>
        <w:r>
          <w:fldChar w:fldCharType="end"/>
        </w:r>
      </w:p>
    </w:sdtContent>
  </w:sdt>
  <w:p w:rsidR="00B24621" w:rsidRDefault="00B2462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7574E"/>
    <w:multiLevelType w:val="hybridMultilevel"/>
    <w:tmpl w:val="1A20992A"/>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44F93FE0"/>
    <w:multiLevelType w:val="hybridMultilevel"/>
    <w:tmpl w:val="6BB8EDD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62483EAC"/>
    <w:multiLevelType w:val="hybridMultilevel"/>
    <w:tmpl w:val="F768F7A8"/>
    <w:lvl w:ilvl="0" w:tplc="1D6AF580">
      <w:numFmt w:val="bullet"/>
      <w:lvlText w:val="•"/>
      <w:lvlJc w:val="left"/>
      <w:pPr>
        <w:ind w:left="2130" w:hanging="1410"/>
      </w:pPr>
      <w:rPr>
        <w:rFonts w:ascii="Arial" w:eastAsia="Times New Roman"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6E5B5DE0"/>
    <w:multiLevelType w:val="hybridMultilevel"/>
    <w:tmpl w:val="4F50277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14F46CB"/>
    <w:multiLevelType w:val="hybridMultilevel"/>
    <w:tmpl w:val="5F5CE4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4B"/>
    <w:rsid w:val="000007E6"/>
    <w:rsid w:val="00032949"/>
    <w:rsid w:val="00044F40"/>
    <w:rsid w:val="00046C92"/>
    <w:rsid w:val="00056704"/>
    <w:rsid w:val="000655D3"/>
    <w:rsid w:val="000677B4"/>
    <w:rsid w:val="00070027"/>
    <w:rsid w:val="00073C55"/>
    <w:rsid w:val="000773D0"/>
    <w:rsid w:val="00080C6F"/>
    <w:rsid w:val="000D2C9D"/>
    <w:rsid w:val="000E0F55"/>
    <w:rsid w:val="000E468E"/>
    <w:rsid w:val="000F03D0"/>
    <w:rsid w:val="000F16A8"/>
    <w:rsid w:val="000F63D8"/>
    <w:rsid w:val="00103DF6"/>
    <w:rsid w:val="00117600"/>
    <w:rsid w:val="001445CA"/>
    <w:rsid w:val="0015694C"/>
    <w:rsid w:val="00162E28"/>
    <w:rsid w:val="00197D59"/>
    <w:rsid w:val="001D3508"/>
    <w:rsid w:val="001E4484"/>
    <w:rsid w:val="001F049B"/>
    <w:rsid w:val="001F33F7"/>
    <w:rsid w:val="001F63AF"/>
    <w:rsid w:val="002170A3"/>
    <w:rsid w:val="002304A8"/>
    <w:rsid w:val="00233993"/>
    <w:rsid w:val="00234D82"/>
    <w:rsid w:val="00243AC4"/>
    <w:rsid w:val="00251CA9"/>
    <w:rsid w:val="00253D69"/>
    <w:rsid w:val="00280D09"/>
    <w:rsid w:val="00292962"/>
    <w:rsid w:val="002B0CF2"/>
    <w:rsid w:val="002F2138"/>
    <w:rsid w:val="002F752A"/>
    <w:rsid w:val="0030644D"/>
    <w:rsid w:val="0031107D"/>
    <w:rsid w:val="00322F29"/>
    <w:rsid w:val="0032680C"/>
    <w:rsid w:val="00334129"/>
    <w:rsid w:val="003374EC"/>
    <w:rsid w:val="00342D39"/>
    <w:rsid w:val="0035503C"/>
    <w:rsid w:val="003A658A"/>
    <w:rsid w:val="003C15C4"/>
    <w:rsid w:val="003D1743"/>
    <w:rsid w:val="003E2D86"/>
    <w:rsid w:val="00434C8A"/>
    <w:rsid w:val="0043614C"/>
    <w:rsid w:val="00437B47"/>
    <w:rsid w:val="00451B6A"/>
    <w:rsid w:val="004529C6"/>
    <w:rsid w:val="004544F6"/>
    <w:rsid w:val="00456D09"/>
    <w:rsid w:val="004638E1"/>
    <w:rsid w:val="004C533C"/>
    <w:rsid w:val="004E50D4"/>
    <w:rsid w:val="004F3B53"/>
    <w:rsid w:val="00507B42"/>
    <w:rsid w:val="0052468B"/>
    <w:rsid w:val="005320FA"/>
    <w:rsid w:val="00534120"/>
    <w:rsid w:val="00543BB7"/>
    <w:rsid w:val="00572520"/>
    <w:rsid w:val="00573604"/>
    <w:rsid w:val="00575020"/>
    <w:rsid w:val="0057548C"/>
    <w:rsid w:val="00580EDB"/>
    <w:rsid w:val="005B4D06"/>
    <w:rsid w:val="005C084A"/>
    <w:rsid w:val="005E19F8"/>
    <w:rsid w:val="005F755C"/>
    <w:rsid w:val="00607888"/>
    <w:rsid w:val="00616EC1"/>
    <w:rsid w:val="00633EF7"/>
    <w:rsid w:val="00662748"/>
    <w:rsid w:val="00663B12"/>
    <w:rsid w:val="00674483"/>
    <w:rsid w:val="0068730F"/>
    <w:rsid w:val="0069016D"/>
    <w:rsid w:val="006C1DA1"/>
    <w:rsid w:val="006C7B86"/>
    <w:rsid w:val="006E6067"/>
    <w:rsid w:val="00722251"/>
    <w:rsid w:val="00725EC7"/>
    <w:rsid w:val="00744FF1"/>
    <w:rsid w:val="00770C26"/>
    <w:rsid w:val="00783CE6"/>
    <w:rsid w:val="007962E3"/>
    <w:rsid w:val="007A33D9"/>
    <w:rsid w:val="007D02B1"/>
    <w:rsid w:val="007E15AA"/>
    <w:rsid w:val="007F38A6"/>
    <w:rsid w:val="00814B6C"/>
    <w:rsid w:val="008209D1"/>
    <w:rsid w:val="00820F88"/>
    <w:rsid w:val="0083132C"/>
    <w:rsid w:val="00834564"/>
    <w:rsid w:val="00864841"/>
    <w:rsid w:val="008863BA"/>
    <w:rsid w:val="008F1D34"/>
    <w:rsid w:val="008F664C"/>
    <w:rsid w:val="00907E81"/>
    <w:rsid w:val="00947DDE"/>
    <w:rsid w:val="00972279"/>
    <w:rsid w:val="00974A26"/>
    <w:rsid w:val="009950FB"/>
    <w:rsid w:val="009966A6"/>
    <w:rsid w:val="009A29E9"/>
    <w:rsid w:val="009B4AD5"/>
    <w:rsid w:val="009B7F09"/>
    <w:rsid w:val="009C4B3D"/>
    <w:rsid w:val="009D32C9"/>
    <w:rsid w:val="009E277D"/>
    <w:rsid w:val="009F07DA"/>
    <w:rsid w:val="00A05949"/>
    <w:rsid w:val="00A14832"/>
    <w:rsid w:val="00A202CB"/>
    <w:rsid w:val="00A24877"/>
    <w:rsid w:val="00A32851"/>
    <w:rsid w:val="00A40902"/>
    <w:rsid w:val="00A61647"/>
    <w:rsid w:val="00A61B35"/>
    <w:rsid w:val="00A77280"/>
    <w:rsid w:val="00A96508"/>
    <w:rsid w:val="00AA5B39"/>
    <w:rsid w:val="00AB6A47"/>
    <w:rsid w:val="00AC0E18"/>
    <w:rsid w:val="00AF0E12"/>
    <w:rsid w:val="00AF2C5B"/>
    <w:rsid w:val="00B07F6C"/>
    <w:rsid w:val="00B1193E"/>
    <w:rsid w:val="00B2298E"/>
    <w:rsid w:val="00B24621"/>
    <w:rsid w:val="00B373F5"/>
    <w:rsid w:val="00B42976"/>
    <w:rsid w:val="00B563E6"/>
    <w:rsid w:val="00B62938"/>
    <w:rsid w:val="00B926E8"/>
    <w:rsid w:val="00BE159C"/>
    <w:rsid w:val="00BE7208"/>
    <w:rsid w:val="00BF04C8"/>
    <w:rsid w:val="00BF174B"/>
    <w:rsid w:val="00C002E2"/>
    <w:rsid w:val="00C01E34"/>
    <w:rsid w:val="00C11144"/>
    <w:rsid w:val="00C20EFC"/>
    <w:rsid w:val="00C2416E"/>
    <w:rsid w:val="00C33780"/>
    <w:rsid w:val="00C37794"/>
    <w:rsid w:val="00C55C1D"/>
    <w:rsid w:val="00C67761"/>
    <w:rsid w:val="00C73D5E"/>
    <w:rsid w:val="00C8569F"/>
    <w:rsid w:val="00CA0F24"/>
    <w:rsid w:val="00CB3C92"/>
    <w:rsid w:val="00CC16EB"/>
    <w:rsid w:val="00CC4F2E"/>
    <w:rsid w:val="00CE7949"/>
    <w:rsid w:val="00CF057C"/>
    <w:rsid w:val="00D05033"/>
    <w:rsid w:val="00D12FF4"/>
    <w:rsid w:val="00D14F83"/>
    <w:rsid w:val="00D21353"/>
    <w:rsid w:val="00D21B3D"/>
    <w:rsid w:val="00D26F6A"/>
    <w:rsid w:val="00D61605"/>
    <w:rsid w:val="00D76073"/>
    <w:rsid w:val="00D967C4"/>
    <w:rsid w:val="00DB18D5"/>
    <w:rsid w:val="00DB3987"/>
    <w:rsid w:val="00DB77D1"/>
    <w:rsid w:val="00DC545D"/>
    <w:rsid w:val="00E0212F"/>
    <w:rsid w:val="00E05D03"/>
    <w:rsid w:val="00E32054"/>
    <w:rsid w:val="00E55152"/>
    <w:rsid w:val="00E551EB"/>
    <w:rsid w:val="00E553FC"/>
    <w:rsid w:val="00E67A0C"/>
    <w:rsid w:val="00EA3756"/>
    <w:rsid w:val="00EB0D06"/>
    <w:rsid w:val="00EB654F"/>
    <w:rsid w:val="00EC7633"/>
    <w:rsid w:val="00F0107C"/>
    <w:rsid w:val="00F21E53"/>
    <w:rsid w:val="00F472E7"/>
    <w:rsid w:val="00F94C3B"/>
    <w:rsid w:val="00F961A4"/>
    <w:rsid w:val="00F968D8"/>
    <w:rsid w:val="00FD60C0"/>
    <w:rsid w:val="00FE5257"/>
    <w:rsid w:val="00FF4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55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rsid w:val="00103DF6"/>
    <w:rPr>
      <w:sz w:val="20"/>
      <w:szCs w:val="20"/>
    </w:rPr>
  </w:style>
  <w:style w:type="character" w:customStyle="1" w:styleId="a5">
    <w:name w:val="Текст сноски Знак"/>
    <w:basedOn w:val="a0"/>
    <w:link w:val="a4"/>
    <w:rsid w:val="00103DF6"/>
    <w:rPr>
      <w:color w:val="000000"/>
    </w:rPr>
  </w:style>
  <w:style w:type="character" w:styleId="a6">
    <w:name w:val="footnote reference"/>
    <w:basedOn w:val="a0"/>
    <w:rsid w:val="00103DF6"/>
    <w:rPr>
      <w:vertAlign w:val="superscript"/>
    </w:rPr>
  </w:style>
  <w:style w:type="paragraph" w:styleId="a7">
    <w:name w:val="List Paragraph"/>
    <w:basedOn w:val="a"/>
    <w:uiPriority w:val="34"/>
    <w:qFormat/>
    <w:rsid w:val="00DC545D"/>
    <w:pPr>
      <w:ind w:left="720"/>
      <w:contextualSpacing/>
    </w:pPr>
  </w:style>
  <w:style w:type="paragraph" w:styleId="a8">
    <w:name w:val="header"/>
    <w:basedOn w:val="a"/>
    <w:link w:val="a9"/>
    <w:uiPriority w:val="99"/>
    <w:rsid w:val="00834564"/>
    <w:pPr>
      <w:tabs>
        <w:tab w:val="center" w:pos="4677"/>
        <w:tab w:val="right" w:pos="9355"/>
      </w:tabs>
    </w:pPr>
  </w:style>
  <w:style w:type="character" w:customStyle="1" w:styleId="a9">
    <w:name w:val="Верхний колонтитул Знак"/>
    <w:basedOn w:val="a0"/>
    <w:link w:val="a8"/>
    <w:uiPriority w:val="99"/>
    <w:rsid w:val="00834564"/>
    <w:rPr>
      <w:color w:val="000000"/>
      <w:sz w:val="24"/>
      <w:szCs w:val="24"/>
    </w:rPr>
  </w:style>
  <w:style w:type="paragraph" w:styleId="aa">
    <w:name w:val="footer"/>
    <w:basedOn w:val="a"/>
    <w:link w:val="ab"/>
    <w:rsid w:val="00834564"/>
    <w:pPr>
      <w:tabs>
        <w:tab w:val="center" w:pos="4677"/>
        <w:tab w:val="right" w:pos="9355"/>
      </w:tabs>
    </w:pPr>
  </w:style>
  <w:style w:type="character" w:customStyle="1" w:styleId="ab">
    <w:name w:val="Нижний колонтитул Знак"/>
    <w:basedOn w:val="a0"/>
    <w:link w:val="aa"/>
    <w:rsid w:val="00834564"/>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55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rsid w:val="00103DF6"/>
    <w:rPr>
      <w:sz w:val="20"/>
      <w:szCs w:val="20"/>
    </w:rPr>
  </w:style>
  <w:style w:type="character" w:customStyle="1" w:styleId="a5">
    <w:name w:val="Текст сноски Знак"/>
    <w:basedOn w:val="a0"/>
    <w:link w:val="a4"/>
    <w:rsid w:val="00103DF6"/>
    <w:rPr>
      <w:color w:val="000000"/>
    </w:rPr>
  </w:style>
  <w:style w:type="character" w:styleId="a6">
    <w:name w:val="footnote reference"/>
    <w:basedOn w:val="a0"/>
    <w:rsid w:val="00103DF6"/>
    <w:rPr>
      <w:vertAlign w:val="superscript"/>
    </w:rPr>
  </w:style>
  <w:style w:type="paragraph" w:styleId="a7">
    <w:name w:val="List Paragraph"/>
    <w:basedOn w:val="a"/>
    <w:uiPriority w:val="34"/>
    <w:qFormat/>
    <w:rsid w:val="00DC545D"/>
    <w:pPr>
      <w:ind w:left="720"/>
      <w:contextualSpacing/>
    </w:pPr>
  </w:style>
  <w:style w:type="paragraph" w:styleId="a8">
    <w:name w:val="header"/>
    <w:basedOn w:val="a"/>
    <w:link w:val="a9"/>
    <w:uiPriority w:val="99"/>
    <w:rsid w:val="00834564"/>
    <w:pPr>
      <w:tabs>
        <w:tab w:val="center" w:pos="4677"/>
        <w:tab w:val="right" w:pos="9355"/>
      </w:tabs>
    </w:pPr>
  </w:style>
  <w:style w:type="character" w:customStyle="1" w:styleId="a9">
    <w:name w:val="Верхний колонтитул Знак"/>
    <w:basedOn w:val="a0"/>
    <w:link w:val="a8"/>
    <w:uiPriority w:val="99"/>
    <w:rsid w:val="00834564"/>
    <w:rPr>
      <w:color w:val="000000"/>
      <w:sz w:val="24"/>
      <w:szCs w:val="24"/>
    </w:rPr>
  </w:style>
  <w:style w:type="paragraph" w:styleId="aa">
    <w:name w:val="footer"/>
    <w:basedOn w:val="a"/>
    <w:link w:val="ab"/>
    <w:rsid w:val="00834564"/>
    <w:pPr>
      <w:tabs>
        <w:tab w:val="center" w:pos="4677"/>
        <w:tab w:val="right" w:pos="9355"/>
      </w:tabs>
    </w:pPr>
  </w:style>
  <w:style w:type="character" w:customStyle="1" w:styleId="ab">
    <w:name w:val="Нижний колонтитул Знак"/>
    <w:basedOn w:val="a0"/>
    <w:link w:val="aa"/>
    <w:rsid w:val="00834564"/>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56870">
      <w:bodyDiv w:val="1"/>
      <w:marLeft w:val="0"/>
      <w:marRight w:val="0"/>
      <w:marTop w:val="0"/>
      <w:marBottom w:val="0"/>
      <w:divBdr>
        <w:top w:val="none" w:sz="0" w:space="0" w:color="auto"/>
        <w:left w:val="none" w:sz="0" w:space="0" w:color="auto"/>
        <w:bottom w:val="none" w:sz="0" w:space="0" w:color="auto"/>
        <w:right w:val="none" w:sz="0" w:space="0" w:color="auto"/>
      </w:divBdr>
    </w:div>
    <w:div w:id="408384260">
      <w:bodyDiv w:val="1"/>
      <w:marLeft w:val="0"/>
      <w:marRight w:val="0"/>
      <w:marTop w:val="0"/>
      <w:marBottom w:val="0"/>
      <w:divBdr>
        <w:top w:val="none" w:sz="0" w:space="0" w:color="auto"/>
        <w:left w:val="none" w:sz="0" w:space="0" w:color="auto"/>
        <w:bottom w:val="none" w:sz="0" w:space="0" w:color="auto"/>
        <w:right w:val="none" w:sz="0" w:space="0" w:color="auto"/>
      </w:divBdr>
    </w:div>
    <w:div w:id="133407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806F4-4F05-4563-9BB5-19A66E5B3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5950</Words>
  <Characters>33917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Kolobaev</dc:creator>
  <cp:lastModifiedBy>Зверева Анна</cp:lastModifiedBy>
  <cp:revision>2</cp:revision>
  <dcterms:created xsi:type="dcterms:W3CDTF">2013-05-31T07:48:00Z</dcterms:created>
  <dcterms:modified xsi:type="dcterms:W3CDTF">2013-05-31T07:48:00Z</dcterms:modified>
</cp:coreProperties>
</file>