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B964C" w14:textId="77777777" w:rsidR="00561476" w:rsidRPr="00E87003" w:rsidRDefault="00000000" w:rsidP="00561476">
      <w:pPr>
        <w:jc w:val="center"/>
        <w:rPr>
          <w:b/>
          <w:sz w:val="36"/>
          <w:szCs w:val="36"/>
        </w:rPr>
      </w:pPr>
      <w:r>
        <w:rPr>
          <w:b/>
          <w:noProof/>
          <w:sz w:val="36"/>
          <w:szCs w:val="36"/>
        </w:rPr>
        <w:pict w14:anchorId="71D15F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2.5pt;height:187.5pt;mso-width-percent:0;mso-height-percent:0;mso-width-percent:0;mso-height-percent:0">
            <v:imagedata r:id="rId7" o:title="Новый логотип1"/>
          </v:shape>
        </w:pict>
      </w:r>
    </w:p>
    <w:p w14:paraId="04D1AD11" w14:textId="77777777" w:rsidR="00561476" w:rsidRPr="00E87003" w:rsidRDefault="00561476" w:rsidP="00561476">
      <w:pPr>
        <w:jc w:val="center"/>
        <w:rPr>
          <w:b/>
          <w:sz w:val="36"/>
          <w:szCs w:val="36"/>
          <w:lang w:val="en-US"/>
        </w:rPr>
      </w:pPr>
    </w:p>
    <w:p w14:paraId="7AE91547" w14:textId="77777777" w:rsidR="000A4DD6" w:rsidRPr="00E87003" w:rsidRDefault="000A4DD6" w:rsidP="00561476">
      <w:pPr>
        <w:jc w:val="center"/>
        <w:rPr>
          <w:b/>
          <w:sz w:val="36"/>
          <w:szCs w:val="36"/>
          <w:lang w:val="en-US"/>
        </w:rPr>
      </w:pPr>
    </w:p>
    <w:p w14:paraId="5AE23628" w14:textId="77777777" w:rsidR="000A4DD6" w:rsidRPr="00E87003" w:rsidRDefault="000A4DD6" w:rsidP="00561476">
      <w:pPr>
        <w:jc w:val="center"/>
        <w:rPr>
          <w:b/>
          <w:sz w:val="36"/>
          <w:szCs w:val="36"/>
          <w:lang w:val="en-US"/>
        </w:rPr>
      </w:pPr>
    </w:p>
    <w:p w14:paraId="334495FE" w14:textId="77777777" w:rsidR="000A4DD6" w:rsidRPr="00E87003" w:rsidRDefault="000A4DD6" w:rsidP="00561476">
      <w:pPr>
        <w:jc w:val="center"/>
        <w:rPr>
          <w:b/>
          <w:sz w:val="36"/>
          <w:szCs w:val="36"/>
          <w:lang w:val="en-US"/>
        </w:rPr>
      </w:pPr>
    </w:p>
    <w:p w14:paraId="693AF59B" w14:textId="77777777" w:rsidR="00561476" w:rsidRPr="00E87003" w:rsidRDefault="00561476" w:rsidP="00561476">
      <w:pPr>
        <w:tabs>
          <w:tab w:val="left" w:pos="5204"/>
        </w:tabs>
        <w:jc w:val="left"/>
        <w:rPr>
          <w:b/>
          <w:sz w:val="36"/>
          <w:szCs w:val="36"/>
        </w:rPr>
      </w:pPr>
      <w:r w:rsidRPr="00E87003">
        <w:rPr>
          <w:b/>
          <w:sz w:val="36"/>
          <w:szCs w:val="36"/>
        </w:rPr>
        <w:tab/>
      </w:r>
    </w:p>
    <w:p w14:paraId="15ED2E54" w14:textId="77777777" w:rsidR="00561476" w:rsidRPr="00E87003" w:rsidRDefault="00561476" w:rsidP="00561476">
      <w:pPr>
        <w:jc w:val="center"/>
        <w:rPr>
          <w:b/>
          <w:sz w:val="36"/>
          <w:szCs w:val="36"/>
        </w:rPr>
      </w:pPr>
    </w:p>
    <w:p w14:paraId="4716F906" w14:textId="77777777" w:rsidR="00561476" w:rsidRPr="00E87003" w:rsidRDefault="00CB76D2" w:rsidP="00561476">
      <w:pPr>
        <w:jc w:val="center"/>
        <w:rPr>
          <w:b/>
          <w:sz w:val="48"/>
          <w:szCs w:val="48"/>
        </w:rPr>
      </w:pPr>
      <w:bookmarkStart w:id="0" w:name="_Toc226196784"/>
      <w:bookmarkStart w:id="1" w:name="_Toc226197203"/>
      <w:r w:rsidRPr="00E87003">
        <w:rPr>
          <w:b/>
          <w:sz w:val="48"/>
          <w:szCs w:val="48"/>
        </w:rPr>
        <w:t>М</w:t>
      </w:r>
      <w:r w:rsidR="00561476" w:rsidRPr="00E87003">
        <w:rPr>
          <w:b/>
          <w:sz w:val="48"/>
          <w:szCs w:val="48"/>
        </w:rPr>
        <w:t>ониторинг СМИ</w:t>
      </w:r>
      <w:bookmarkEnd w:id="0"/>
      <w:bookmarkEnd w:id="1"/>
      <w:r w:rsidR="00561476" w:rsidRPr="00E87003">
        <w:rPr>
          <w:b/>
          <w:sz w:val="48"/>
          <w:szCs w:val="48"/>
        </w:rPr>
        <w:t xml:space="preserve"> РФ</w:t>
      </w:r>
    </w:p>
    <w:p w14:paraId="575C30F9" w14:textId="77777777" w:rsidR="00561476" w:rsidRPr="00E87003" w:rsidRDefault="00561476" w:rsidP="00561476">
      <w:pPr>
        <w:jc w:val="center"/>
        <w:rPr>
          <w:b/>
          <w:sz w:val="48"/>
          <w:szCs w:val="48"/>
        </w:rPr>
      </w:pPr>
      <w:bookmarkStart w:id="2" w:name="_Toc226196785"/>
      <w:bookmarkStart w:id="3" w:name="_Toc226197204"/>
      <w:r w:rsidRPr="00E87003">
        <w:rPr>
          <w:b/>
          <w:sz w:val="48"/>
          <w:szCs w:val="48"/>
        </w:rPr>
        <w:t>по пенсионной тематике</w:t>
      </w:r>
      <w:bookmarkEnd w:id="2"/>
      <w:bookmarkEnd w:id="3"/>
    </w:p>
    <w:p w14:paraId="06CF997A" w14:textId="77777777" w:rsidR="008B6D1B" w:rsidRPr="00E87003" w:rsidRDefault="008B6D1B" w:rsidP="00C70A20">
      <w:pPr>
        <w:jc w:val="center"/>
        <w:rPr>
          <w:b/>
          <w:sz w:val="48"/>
          <w:szCs w:val="48"/>
        </w:rPr>
      </w:pPr>
    </w:p>
    <w:p w14:paraId="653F88B4" w14:textId="77777777" w:rsidR="007D6FE5" w:rsidRPr="00E87003" w:rsidRDefault="007D6FE5" w:rsidP="00C70A20">
      <w:pPr>
        <w:jc w:val="center"/>
        <w:rPr>
          <w:b/>
          <w:sz w:val="36"/>
          <w:szCs w:val="36"/>
        </w:rPr>
      </w:pPr>
      <w:r w:rsidRPr="00E87003">
        <w:rPr>
          <w:b/>
          <w:sz w:val="36"/>
          <w:szCs w:val="36"/>
        </w:rPr>
        <w:t xml:space="preserve"> </w:t>
      </w:r>
    </w:p>
    <w:p w14:paraId="516C41BF" w14:textId="77777777" w:rsidR="00C70A20" w:rsidRPr="00E87003" w:rsidRDefault="00CB2F8F" w:rsidP="00C70A20">
      <w:pPr>
        <w:jc w:val="center"/>
        <w:rPr>
          <w:b/>
          <w:sz w:val="40"/>
          <w:szCs w:val="40"/>
        </w:rPr>
      </w:pPr>
      <w:r w:rsidRPr="00E87003">
        <w:rPr>
          <w:b/>
          <w:sz w:val="40"/>
          <w:szCs w:val="40"/>
        </w:rPr>
        <w:t>0</w:t>
      </w:r>
      <w:r w:rsidR="00154904" w:rsidRPr="00E87003">
        <w:rPr>
          <w:b/>
          <w:sz w:val="40"/>
          <w:szCs w:val="40"/>
        </w:rPr>
        <w:t>3</w:t>
      </w:r>
      <w:r w:rsidR="00CB6B64" w:rsidRPr="00E87003">
        <w:rPr>
          <w:b/>
          <w:sz w:val="40"/>
          <w:szCs w:val="40"/>
        </w:rPr>
        <w:t>.</w:t>
      </w:r>
      <w:r w:rsidR="00C8666E" w:rsidRPr="00E87003">
        <w:rPr>
          <w:b/>
          <w:sz w:val="40"/>
          <w:szCs w:val="40"/>
          <w:lang w:val="en-US"/>
        </w:rPr>
        <w:t>0</w:t>
      </w:r>
      <w:r w:rsidRPr="00E87003">
        <w:rPr>
          <w:b/>
          <w:sz w:val="40"/>
          <w:szCs w:val="40"/>
        </w:rPr>
        <w:t>4</w:t>
      </w:r>
      <w:r w:rsidR="000214CF" w:rsidRPr="00E87003">
        <w:rPr>
          <w:b/>
          <w:sz w:val="40"/>
          <w:szCs w:val="40"/>
        </w:rPr>
        <w:t>.</w:t>
      </w:r>
      <w:r w:rsidR="007D6FE5" w:rsidRPr="00E87003">
        <w:rPr>
          <w:b/>
          <w:sz w:val="40"/>
          <w:szCs w:val="40"/>
        </w:rPr>
        <w:t>20</w:t>
      </w:r>
      <w:r w:rsidR="00EB57E7" w:rsidRPr="00E87003">
        <w:rPr>
          <w:b/>
          <w:sz w:val="40"/>
          <w:szCs w:val="40"/>
        </w:rPr>
        <w:t>2</w:t>
      </w:r>
      <w:r w:rsidR="00C8666E" w:rsidRPr="00E87003">
        <w:rPr>
          <w:b/>
          <w:sz w:val="40"/>
          <w:szCs w:val="40"/>
          <w:lang w:val="en-US"/>
        </w:rPr>
        <w:t>5</w:t>
      </w:r>
      <w:r w:rsidR="00C70A20" w:rsidRPr="00E87003">
        <w:rPr>
          <w:b/>
          <w:sz w:val="40"/>
          <w:szCs w:val="40"/>
        </w:rPr>
        <w:t xml:space="preserve"> г</w:t>
      </w:r>
      <w:r w:rsidR="007D6FE5" w:rsidRPr="00E87003">
        <w:rPr>
          <w:b/>
          <w:sz w:val="40"/>
          <w:szCs w:val="40"/>
        </w:rPr>
        <w:t>.</w:t>
      </w:r>
    </w:p>
    <w:p w14:paraId="41232CDB" w14:textId="77777777" w:rsidR="007D6FE5" w:rsidRPr="00E87003" w:rsidRDefault="007D6FE5" w:rsidP="000C1A46">
      <w:pPr>
        <w:jc w:val="center"/>
        <w:rPr>
          <w:b/>
          <w:sz w:val="40"/>
          <w:szCs w:val="40"/>
        </w:rPr>
      </w:pPr>
    </w:p>
    <w:p w14:paraId="7D7C99AF" w14:textId="77777777" w:rsidR="00C16C6D" w:rsidRPr="00E87003" w:rsidRDefault="00C16C6D" w:rsidP="000C1A46">
      <w:pPr>
        <w:jc w:val="center"/>
        <w:rPr>
          <w:b/>
          <w:sz w:val="40"/>
          <w:szCs w:val="40"/>
        </w:rPr>
      </w:pPr>
    </w:p>
    <w:p w14:paraId="3020BD65" w14:textId="77777777" w:rsidR="00C70A20" w:rsidRPr="00E87003" w:rsidRDefault="00C70A20" w:rsidP="000C1A46">
      <w:pPr>
        <w:jc w:val="center"/>
        <w:rPr>
          <w:b/>
          <w:sz w:val="40"/>
          <w:szCs w:val="40"/>
        </w:rPr>
      </w:pPr>
    </w:p>
    <w:p w14:paraId="730E980A" w14:textId="77777777" w:rsidR="00C70A20" w:rsidRPr="00E87003" w:rsidRDefault="00C70A20" w:rsidP="000C1A46">
      <w:pPr>
        <w:jc w:val="center"/>
      </w:pPr>
    </w:p>
    <w:p w14:paraId="11EBBB5C" w14:textId="77777777" w:rsidR="00CB76D2" w:rsidRPr="00E87003" w:rsidRDefault="00CB76D2" w:rsidP="000C1A46">
      <w:pPr>
        <w:jc w:val="center"/>
        <w:rPr>
          <w:b/>
          <w:sz w:val="40"/>
          <w:szCs w:val="40"/>
        </w:rPr>
      </w:pPr>
    </w:p>
    <w:p w14:paraId="1B7F787D" w14:textId="77777777" w:rsidR="009D66A1" w:rsidRPr="00E87003" w:rsidRDefault="009B23FE" w:rsidP="009B23FE">
      <w:pPr>
        <w:pStyle w:val="10"/>
        <w:jc w:val="center"/>
      </w:pPr>
      <w:r w:rsidRPr="00E87003">
        <w:br w:type="page"/>
      </w:r>
      <w:bookmarkStart w:id="4" w:name="_Toc396864626"/>
      <w:bookmarkStart w:id="5" w:name="_Toc194558688"/>
      <w:r w:rsidR="009D79CC" w:rsidRPr="00E87003">
        <w:lastRenderedPageBreak/>
        <w:t>Те</w:t>
      </w:r>
      <w:r w:rsidR="009D66A1" w:rsidRPr="00E87003">
        <w:t>мы</w:t>
      </w:r>
      <w:r w:rsidR="009D66A1" w:rsidRPr="00E87003">
        <w:rPr>
          <w:rFonts w:ascii="Arial Rounded MT Bold" w:hAnsi="Arial Rounded MT Bold"/>
        </w:rPr>
        <w:t xml:space="preserve"> </w:t>
      </w:r>
      <w:r w:rsidR="009D66A1" w:rsidRPr="00E87003">
        <w:t>дня</w:t>
      </w:r>
      <w:bookmarkEnd w:id="4"/>
      <w:bookmarkEnd w:id="5"/>
    </w:p>
    <w:p w14:paraId="043E1281" w14:textId="77777777" w:rsidR="00A1463C" w:rsidRPr="00E87003" w:rsidRDefault="00C81799" w:rsidP="00676D5F">
      <w:pPr>
        <w:numPr>
          <w:ilvl w:val="0"/>
          <w:numId w:val="25"/>
        </w:numPr>
        <w:rPr>
          <w:i/>
        </w:rPr>
      </w:pPr>
      <w:r w:rsidRPr="00E87003">
        <w:rPr>
          <w:i/>
        </w:rPr>
        <w:t xml:space="preserve">Активы негосударственного пенсионного фонда «Будущее» увеличились за год на 3,7 %, до 303 млрд рублей, а обязательства возросли на 4 % — до 285,6 млрд рублей. Фонд завершил год с чистой прибылью в 6,1 млрд рублей — это на 39 % больше, чем в 2023 году (4,4 млрд рублей), следует из годовой отчетности. В общей сложности клиенты вложили в продукты НПФ 307,9 млн рублей — это почти в два раза больше, чем годом ранее (тогда было 193,6 млн рублей). Выплаты клиентам составили 7,2 млрд рублей, </w:t>
      </w:r>
      <w:hyperlink w:anchor="a1" w:history="1">
        <w:r w:rsidRPr="00E87003">
          <w:rPr>
            <w:rStyle w:val="a3"/>
            <w:i/>
          </w:rPr>
          <w:t>пишет «Пенсия.pro»</w:t>
        </w:r>
      </w:hyperlink>
    </w:p>
    <w:p w14:paraId="5C589017" w14:textId="77777777" w:rsidR="00C81799" w:rsidRPr="00E87003" w:rsidRDefault="00C81799" w:rsidP="00676D5F">
      <w:pPr>
        <w:numPr>
          <w:ilvl w:val="0"/>
          <w:numId w:val="25"/>
        </w:numPr>
        <w:rPr>
          <w:i/>
        </w:rPr>
      </w:pPr>
      <w:r w:rsidRPr="00E87003">
        <w:rPr>
          <w:i/>
        </w:rPr>
        <w:t xml:space="preserve">НПФ «Достойное БУДУЩЕЕ» опубликовал финансовые результаты за 2024 год. Как следует из бухгалтерской отчетности, объем активов фонда на 31 декабря 2024 года достиг суммы в 318,37 млрд рублей, что на 5% превышает показатель 2023 года. Существенный рост продемонстрировали денежные средства и их эквиваленты - 45,7 млрд рублей против 18,8 млрд рублей годом ранее, что связано с увеличением доходности инвестиционной деятельности и оптимизацией портфеля активов, </w:t>
      </w:r>
      <w:hyperlink w:anchor="a2" w:history="1">
        <w:r w:rsidRPr="00E87003">
          <w:rPr>
            <w:rStyle w:val="a3"/>
            <w:i/>
          </w:rPr>
          <w:t>передает «Ваш пенсионный брокер»</w:t>
        </w:r>
      </w:hyperlink>
    </w:p>
    <w:p w14:paraId="4C9CA928" w14:textId="77777777" w:rsidR="00C81799" w:rsidRPr="00E87003" w:rsidRDefault="00C81799" w:rsidP="00676D5F">
      <w:pPr>
        <w:numPr>
          <w:ilvl w:val="0"/>
          <w:numId w:val="25"/>
        </w:numPr>
        <w:rPr>
          <w:i/>
        </w:rPr>
      </w:pPr>
      <w:r w:rsidRPr="00E87003">
        <w:rPr>
          <w:i/>
        </w:rPr>
        <w:t xml:space="preserve">МНПФ «БОЛЬШОЙ» выступил партнером VIII конференции по финансовой грамотности и финансовой доступности ФИНФИН-2025, посвященной теме повышения финграмотности среди трудовых коллективов. Мероприятие прошло в формате открытого диалога между представителями финансовых институтов, государственных органов, трудовых коллективов и экспертного сообщества. На площадке мероприятия эксперты МНПФ «БОЛЬШОЙ представили свои финансовые решение, которые позволяют россиянам формировать долгосрочные сбережения, </w:t>
      </w:r>
      <w:hyperlink w:anchor="a3" w:history="1">
        <w:r w:rsidRPr="00E87003">
          <w:rPr>
            <w:rStyle w:val="a3"/>
            <w:i/>
          </w:rPr>
          <w:t>сообщает РБК</w:t>
        </w:r>
      </w:hyperlink>
    </w:p>
    <w:p w14:paraId="31124577" w14:textId="77777777" w:rsidR="00C81799" w:rsidRPr="00E87003" w:rsidRDefault="00C81799" w:rsidP="00676D5F">
      <w:pPr>
        <w:numPr>
          <w:ilvl w:val="0"/>
          <w:numId w:val="25"/>
        </w:numPr>
        <w:rPr>
          <w:i/>
        </w:rPr>
      </w:pPr>
      <w:r w:rsidRPr="00E87003">
        <w:rPr>
          <w:i/>
        </w:rPr>
        <w:t xml:space="preserve">Подавляющее большинство россиян (83%) оказывают финансовую помощь пожилым родственникам. При этом почти половина россиян (46%) рассказали, что регулярно уделяют внимание своим возрастным близким (звонят, вместе проводят время), а чуть больше трети (34%) помогают с решением бытовых вопросов. К таким выводам пришли НПФ «Достойное БУДУЩЕЕ» и проект по финансовому просвещению «ГраФин», проведя исследование, с результатами которого </w:t>
      </w:r>
      <w:hyperlink w:anchor="a4" w:history="1">
        <w:r w:rsidRPr="00E87003">
          <w:rPr>
            <w:rStyle w:val="a3"/>
            <w:i/>
          </w:rPr>
          <w:t>ознакомилась «Газета.ru»</w:t>
        </w:r>
      </w:hyperlink>
    </w:p>
    <w:p w14:paraId="24FFA938" w14:textId="77777777" w:rsidR="00C81799" w:rsidRPr="00E87003" w:rsidRDefault="00C81799" w:rsidP="00676D5F">
      <w:pPr>
        <w:numPr>
          <w:ilvl w:val="0"/>
          <w:numId w:val="25"/>
        </w:numPr>
        <w:rPr>
          <w:i/>
        </w:rPr>
      </w:pPr>
      <w:r w:rsidRPr="00E87003">
        <w:rPr>
          <w:i/>
        </w:rPr>
        <w:t xml:space="preserve">Минфин и Банк России задались целью сделать 40% сбережений россиян долгосрочными. Эта цель закреплена в федеральном проекте по развитию финансового рынка РФ, над которыми совместно работают два ведомства. Откладывать деньги на будущее для себя и своих детей люди будут сугубо добровольно, для этого финансовые власти обсуждают целый набор льгот и мер поддержки. России требуются "длинные деньги" на развитие экономики, </w:t>
      </w:r>
      <w:hyperlink w:anchor="a5" w:history="1">
        <w:r w:rsidRPr="00E87003">
          <w:rPr>
            <w:rStyle w:val="a3"/>
            <w:i/>
          </w:rPr>
          <w:t>объяснили "Российской газете"</w:t>
        </w:r>
      </w:hyperlink>
      <w:r w:rsidRPr="00E87003">
        <w:rPr>
          <w:i/>
        </w:rPr>
        <w:t xml:space="preserve"> планы властей эксперты</w:t>
      </w:r>
    </w:p>
    <w:p w14:paraId="7F0B8BA7" w14:textId="77777777" w:rsidR="00C81799" w:rsidRPr="00E87003" w:rsidRDefault="00C81799" w:rsidP="00676D5F">
      <w:pPr>
        <w:numPr>
          <w:ilvl w:val="0"/>
          <w:numId w:val="25"/>
        </w:numPr>
        <w:rPr>
          <w:i/>
        </w:rPr>
      </w:pPr>
      <w:r w:rsidRPr="00E87003">
        <w:rPr>
          <w:i/>
        </w:rPr>
        <w:t xml:space="preserve">Работодатели, которые будут участвовать в софинансировании программы долгосрочных сбережений (ПДС) своих работников, смогут учитывать эти затраты в расходы и уменьшить налоговую базу. Соответствующий законопроект уже разработан и находится на рассмотрении в правительстве России. Об этом заявил журналистам замминистра финансов Иван Чебесков в </w:t>
      </w:r>
      <w:r w:rsidRPr="00E87003">
        <w:rPr>
          <w:i/>
        </w:rPr>
        <w:lastRenderedPageBreak/>
        <w:t xml:space="preserve">кулуарах форума «Стратегическая сессия финансового рынка», организованного рейтинговым агентством «Эксперт РА». Его слова </w:t>
      </w:r>
      <w:hyperlink w:anchor="a6" w:history="1">
        <w:r w:rsidRPr="00E87003">
          <w:rPr>
            <w:rStyle w:val="a3"/>
            <w:i/>
          </w:rPr>
          <w:t>передает корреспондент «РБК Инвестиций»</w:t>
        </w:r>
      </w:hyperlink>
    </w:p>
    <w:p w14:paraId="78F97C5A" w14:textId="77777777" w:rsidR="00C81799" w:rsidRPr="00E87003" w:rsidRDefault="00C81799" w:rsidP="00676D5F">
      <w:pPr>
        <w:numPr>
          <w:ilvl w:val="0"/>
          <w:numId w:val="25"/>
        </w:numPr>
        <w:rPr>
          <w:i/>
        </w:rPr>
      </w:pPr>
      <w:r w:rsidRPr="00E87003">
        <w:rPr>
          <w:i/>
        </w:rPr>
        <w:t xml:space="preserve">Российские Минфин и Центробанк завершают проработку концепции развития семейных сбережений. Об этом заявил замминистра финансов Иван Чебесков на форуме «Стратегическая сессия финансового рынка». По его словам, ведомства обсуждают льготы для тех россиян, которые готовы делать долгосрочные сбережения. Разработка привлекательных для россиян инструментов семейных сбережений близка к завершающему этапу, </w:t>
      </w:r>
      <w:hyperlink w:anchor="a7" w:history="1">
        <w:r w:rsidRPr="00E87003">
          <w:rPr>
            <w:rStyle w:val="a3"/>
            <w:i/>
          </w:rPr>
          <w:t>пишет Журнал «КO»</w:t>
        </w:r>
      </w:hyperlink>
    </w:p>
    <w:p w14:paraId="16247E1C" w14:textId="77777777" w:rsidR="00C81799" w:rsidRPr="00E87003" w:rsidRDefault="00C81799" w:rsidP="00676D5F">
      <w:pPr>
        <w:numPr>
          <w:ilvl w:val="0"/>
          <w:numId w:val="25"/>
        </w:numPr>
        <w:rPr>
          <w:i/>
        </w:rPr>
      </w:pPr>
      <w:r w:rsidRPr="00E87003">
        <w:rPr>
          <w:i/>
        </w:rPr>
        <w:t xml:space="preserve">Доходность по программе долгосрочных сбережений за первый год составила в среднем около 20 % годовых. Центральный Банк России еще не опубликовал информацию, клиенты каких негосударственных фондов получили максимальную выгоду. </w:t>
      </w:r>
      <w:hyperlink w:anchor="a8" w:history="1">
        <w:r w:rsidRPr="00E87003">
          <w:rPr>
            <w:rStyle w:val="a3"/>
            <w:i/>
          </w:rPr>
          <w:t>«Пенсия.pro» изучила</w:t>
        </w:r>
      </w:hyperlink>
      <w:r w:rsidRPr="00E87003">
        <w:rPr>
          <w:i/>
        </w:rPr>
        <w:t xml:space="preserve"> работу десяти самых крупных НПФ1 и составила свой рейтинг. В основе — данные, раскрытые фондами</w:t>
      </w:r>
    </w:p>
    <w:p w14:paraId="1106C3ED" w14:textId="77777777" w:rsidR="00C81799" w:rsidRPr="00E87003" w:rsidRDefault="00C160BD" w:rsidP="00676D5F">
      <w:pPr>
        <w:numPr>
          <w:ilvl w:val="0"/>
          <w:numId w:val="25"/>
        </w:numPr>
        <w:rPr>
          <w:i/>
        </w:rPr>
      </w:pPr>
      <w:r w:rsidRPr="00E87003">
        <w:rPr>
          <w:i/>
        </w:rPr>
        <w:t xml:space="preserve">Председатель комитета Государственной думы по вопросам собственности, земельным и имущественным отношениям (фракция КПРФ) Сергей Гаврилов </w:t>
      </w:r>
      <w:hyperlink w:anchor="a9" w:history="1">
        <w:r w:rsidRPr="00E87003">
          <w:rPr>
            <w:rStyle w:val="a3"/>
            <w:i/>
          </w:rPr>
          <w:t>рассказал RT</w:t>
        </w:r>
      </w:hyperlink>
      <w:r w:rsidRPr="00E87003">
        <w:rPr>
          <w:i/>
        </w:rPr>
        <w:t xml:space="preserve"> о двухэтапной индексации страховых пенсий в 2026 году. По словам парламентария, механизм будет применяться ко всем, кто получает соответствующие выплаты по возрасту или иным установленным законодательством основаниям</w:t>
      </w:r>
    </w:p>
    <w:p w14:paraId="4B972713" w14:textId="77777777" w:rsidR="00940029" w:rsidRPr="00E87003" w:rsidRDefault="009D79CC" w:rsidP="00940029">
      <w:pPr>
        <w:pStyle w:val="10"/>
        <w:jc w:val="center"/>
      </w:pPr>
      <w:bookmarkStart w:id="6" w:name="_Toc173015209"/>
      <w:bookmarkStart w:id="7" w:name="_Toc194558689"/>
      <w:r w:rsidRPr="00E87003">
        <w:t>Ци</w:t>
      </w:r>
      <w:r w:rsidR="00940029" w:rsidRPr="00E87003">
        <w:t>таты дня</w:t>
      </w:r>
      <w:bookmarkEnd w:id="6"/>
      <w:bookmarkEnd w:id="7"/>
    </w:p>
    <w:p w14:paraId="00C2E4CA" w14:textId="77777777" w:rsidR="00C160BD" w:rsidRPr="00E87003" w:rsidRDefault="00C160BD" w:rsidP="003B3BAA">
      <w:pPr>
        <w:numPr>
          <w:ilvl w:val="0"/>
          <w:numId w:val="27"/>
        </w:numPr>
        <w:rPr>
          <w:i/>
        </w:rPr>
      </w:pPr>
      <w:r w:rsidRPr="00E87003">
        <w:rPr>
          <w:i/>
        </w:rPr>
        <w:t>Иван Чебесков, замминистра финансов РФ: "Этот федеральный проект (по развитию финансового рынка РФ – ред.) нацелен на увеличение доли долгосрочных сбережений граждан до 40% от общего объема их сбережений. Это важная цель, и мы стараемся создать такие условия и инструменты, чтобы гражданину было интересно инвестировать и сберегать в долгосрочный перспективе"</w:t>
      </w:r>
    </w:p>
    <w:p w14:paraId="4FCFC78A" w14:textId="77777777" w:rsidR="00C160BD" w:rsidRDefault="00E16F58" w:rsidP="003B3BAA">
      <w:pPr>
        <w:numPr>
          <w:ilvl w:val="0"/>
          <w:numId w:val="27"/>
        </w:numPr>
        <w:rPr>
          <w:i/>
        </w:rPr>
      </w:pPr>
      <w:r w:rsidRPr="00E87003">
        <w:rPr>
          <w:i/>
        </w:rPr>
        <w:t xml:space="preserve">Иван Чебесков, замминистра финансов РФ: </w:t>
      </w:r>
      <w:r w:rsidR="00C160BD" w:rsidRPr="00E87003">
        <w:rPr>
          <w:i/>
        </w:rPr>
        <w:t>«Это налоговая поправка, которая позволяет компаниям, которые участвуют в софинансировании программы долгосрочных сбережений для своих сотрудников, учитывать этот взнос в виде своих расходов. То есть это не налоговый вычет, это просто возможность, как, например, зарплату, относить [суммы, направленные на софинансирование ПДС] к расходам и соответственно уменьшать налоговую базу таким образом»</w:t>
      </w:r>
    </w:p>
    <w:p w14:paraId="7126CEC6" w14:textId="77777777" w:rsidR="001C5988" w:rsidRPr="00E87003" w:rsidRDefault="001C5988" w:rsidP="003B3BAA">
      <w:pPr>
        <w:numPr>
          <w:ilvl w:val="0"/>
          <w:numId w:val="27"/>
        </w:numPr>
        <w:rPr>
          <w:i/>
        </w:rPr>
      </w:pPr>
      <w:r w:rsidRPr="001C5988">
        <w:rPr>
          <w:i/>
        </w:rPr>
        <w:t>Руслан Вестеровский</w:t>
      </w:r>
      <w:r>
        <w:rPr>
          <w:i/>
        </w:rPr>
        <w:t>,</w:t>
      </w:r>
      <w:r w:rsidRPr="001C5988">
        <w:rPr>
          <w:i/>
        </w:rPr>
        <w:t xml:space="preserve"> старший вице-президент, руководитель блока «Управление благосостоянием» Сбербанка: </w:t>
      </w:r>
      <w:r>
        <w:rPr>
          <w:i/>
        </w:rPr>
        <w:t>«</w:t>
      </w:r>
      <w:r w:rsidRPr="001C5988">
        <w:rPr>
          <w:i/>
        </w:rPr>
        <w:t xml:space="preserve">Мы, безусловно, поддерживаем эту инициативу Минфина. Новые меры создадут дополнительные стимулы для работодателей участвовать в софинансировании взносов сотрудников в программу долгосрочных сбережений (ПДС). Особенно это актуально в условиях кадрового дефицита, ведь ПДС станет дополнительным инструментом мотивации и удержания сотрудников. Исследование СберНПФ </w:t>
      </w:r>
      <w:r w:rsidRPr="001C5988">
        <w:rPr>
          <w:i/>
        </w:rPr>
        <w:lastRenderedPageBreak/>
        <w:t>и Работа.ру показывает, что 46% работодателей готовы софинансировать ПДС-счета своих специалистов, причем половина из них рассчитывают на налоговые льготы. С нашей точки зрения, после принятия поправок количество участников ПДС значительно увеличится</w:t>
      </w:r>
      <w:r>
        <w:rPr>
          <w:i/>
        </w:rPr>
        <w:t>»</w:t>
      </w:r>
    </w:p>
    <w:p w14:paraId="78D77ED5" w14:textId="77777777" w:rsidR="00C160BD" w:rsidRPr="00E87003" w:rsidRDefault="00C160BD" w:rsidP="003B3BAA">
      <w:pPr>
        <w:numPr>
          <w:ilvl w:val="0"/>
          <w:numId w:val="27"/>
        </w:numPr>
        <w:rPr>
          <w:i/>
        </w:rPr>
      </w:pPr>
      <w:r w:rsidRPr="00E87003">
        <w:rPr>
          <w:i/>
        </w:rPr>
        <w:t>Татьяна Подольская, эксперт Президентской академии (РАНХиГС): "ПДС предлагает возможность перевести накопительные части пенсий, сформированные в период с 2002 по 2013 год, в новый капитал. Это позволяет людям использовать эту часть своей пенсии уже сегодня. Кроме того, счета в ПДС защищены государством, включая доход от инвестиций, на сумму до 2,8 млн руб. Накопленные средства передаются по наследству согласно законодательству"</w:t>
      </w:r>
    </w:p>
    <w:p w14:paraId="7E29A9C9" w14:textId="77777777" w:rsidR="00676D5F" w:rsidRPr="00E87003" w:rsidRDefault="00C160BD" w:rsidP="003B3BAA">
      <w:pPr>
        <w:numPr>
          <w:ilvl w:val="0"/>
          <w:numId w:val="27"/>
        </w:numPr>
        <w:rPr>
          <w:i/>
        </w:rPr>
      </w:pPr>
      <w:r w:rsidRPr="00E87003">
        <w:rPr>
          <w:i/>
        </w:rPr>
        <w:t>Вячеслав Дусалеев, генеральный директор АО «НПФ ГАЗФОНД пенсионные накопления»: «У Фонда и СЕВЕРГАЗБАНКА общая цель: сделать клиентский путь вхождения в Программу долгосрочных сбережений легким и эффективным. Совместный проект предоставляет клиентам возможность комфортно увеличить пенсионные накопления в рамках Программы долгосрочных сбережений за счет перевода кешбэка с кобрендинговой карты, тем самым формируя стабильное финансовое будущее для себя и своей семьи»</w:t>
      </w:r>
    </w:p>
    <w:p w14:paraId="1F638054" w14:textId="77777777" w:rsidR="00A0290C" w:rsidRPr="00E87003"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E87003">
        <w:rPr>
          <w:u w:val="single"/>
        </w:rPr>
        <w:lastRenderedPageBreak/>
        <w:t>ОГЛАВЛЕНИЕ</w:t>
      </w:r>
    </w:p>
    <w:p w14:paraId="2AD82095" w14:textId="35FF668D" w:rsidR="00BD7B89" w:rsidRDefault="001D5404">
      <w:pPr>
        <w:pStyle w:val="12"/>
        <w:tabs>
          <w:tab w:val="right" w:leader="dot" w:pos="9061"/>
        </w:tabs>
        <w:rPr>
          <w:rFonts w:ascii="Calibri" w:hAnsi="Calibri"/>
          <w:b w:val="0"/>
          <w:noProof/>
          <w:kern w:val="2"/>
          <w:sz w:val="24"/>
        </w:rPr>
      </w:pPr>
      <w:r w:rsidRPr="00E87003">
        <w:rPr>
          <w:caps/>
        </w:rPr>
        <w:fldChar w:fldCharType="begin"/>
      </w:r>
      <w:r w:rsidR="00310633" w:rsidRPr="00E87003">
        <w:rPr>
          <w:caps/>
        </w:rPr>
        <w:instrText xml:space="preserve"> TOC \o "1-5" \h \z \u </w:instrText>
      </w:r>
      <w:r w:rsidRPr="00E87003">
        <w:rPr>
          <w:caps/>
        </w:rPr>
        <w:fldChar w:fldCharType="separate"/>
      </w:r>
      <w:hyperlink w:anchor="_Toc194558688" w:history="1">
        <w:r w:rsidR="00BD7B89" w:rsidRPr="00EB6147">
          <w:rPr>
            <w:rStyle w:val="a3"/>
            <w:noProof/>
          </w:rPr>
          <w:t>Темы</w:t>
        </w:r>
        <w:r w:rsidR="00BD7B89" w:rsidRPr="00EB6147">
          <w:rPr>
            <w:rStyle w:val="a3"/>
            <w:rFonts w:ascii="Arial Rounded MT Bold" w:hAnsi="Arial Rounded MT Bold"/>
            <w:noProof/>
          </w:rPr>
          <w:t xml:space="preserve"> </w:t>
        </w:r>
        <w:r w:rsidR="00BD7B89" w:rsidRPr="00EB6147">
          <w:rPr>
            <w:rStyle w:val="a3"/>
            <w:noProof/>
          </w:rPr>
          <w:t>дня</w:t>
        </w:r>
        <w:r w:rsidR="00BD7B89">
          <w:rPr>
            <w:noProof/>
            <w:webHidden/>
          </w:rPr>
          <w:tab/>
        </w:r>
        <w:r w:rsidR="00BD7B89">
          <w:rPr>
            <w:noProof/>
            <w:webHidden/>
          </w:rPr>
          <w:fldChar w:fldCharType="begin"/>
        </w:r>
        <w:r w:rsidR="00BD7B89">
          <w:rPr>
            <w:noProof/>
            <w:webHidden/>
          </w:rPr>
          <w:instrText xml:space="preserve"> PAGEREF _Toc194558688 \h </w:instrText>
        </w:r>
        <w:r w:rsidR="00BD7B89">
          <w:rPr>
            <w:noProof/>
            <w:webHidden/>
          </w:rPr>
        </w:r>
        <w:r w:rsidR="00BD7B89">
          <w:rPr>
            <w:noProof/>
            <w:webHidden/>
          </w:rPr>
          <w:fldChar w:fldCharType="separate"/>
        </w:r>
        <w:r w:rsidR="00D268D2">
          <w:rPr>
            <w:noProof/>
            <w:webHidden/>
          </w:rPr>
          <w:t>2</w:t>
        </w:r>
        <w:r w:rsidR="00BD7B89">
          <w:rPr>
            <w:noProof/>
            <w:webHidden/>
          </w:rPr>
          <w:fldChar w:fldCharType="end"/>
        </w:r>
      </w:hyperlink>
    </w:p>
    <w:p w14:paraId="4066B458" w14:textId="6BF70752" w:rsidR="00BD7B89" w:rsidRDefault="00BD7B89">
      <w:pPr>
        <w:pStyle w:val="12"/>
        <w:tabs>
          <w:tab w:val="right" w:leader="dot" w:pos="9061"/>
        </w:tabs>
        <w:rPr>
          <w:rFonts w:ascii="Calibri" w:hAnsi="Calibri"/>
          <w:b w:val="0"/>
          <w:noProof/>
          <w:kern w:val="2"/>
          <w:sz w:val="24"/>
        </w:rPr>
      </w:pPr>
      <w:hyperlink w:anchor="_Toc194558689" w:history="1">
        <w:r w:rsidRPr="00EB6147">
          <w:rPr>
            <w:rStyle w:val="a3"/>
            <w:noProof/>
          </w:rPr>
          <w:t>Цитаты дня</w:t>
        </w:r>
        <w:r>
          <w:rPr>
            <w:noProof/>
            <w:webHidden/>
          </w:rPr>
          <w:tab/>
        </w:r>
        <w:r>
          <w:rPr>
            <w:noProof/>
            <w:webHidden/>
          </w:rPr>
          <w:fldChar w:fldCharType="begin"/>
        </w:r>
        <w:r>
          <w:rPr>
            <w:noProof/>
            <w:webHidden/>
          </w:rPr>
          <w:instrText xml:space="preserve"> PAGEREF _Toc194558689 \h </w:instrText>
        </w:r>
        <w:r>
          <w:rPr>
            <w:noProof/>
            <w:webHidden/>
          </w:rPr>
        </w:r>
        <w:r>
          <w:rPr>
            <w:noProof/>
            <w:webHidden/>
          </w:rPr>
          <w:fldChar w:fldCharType="separate"/>
        </w:r>
        <w:r w:rsidR="00D268D2">
          <w:rPr>
            <w:noProof/>
            <w:webHidden/>
          </w:rPr>
          <w:t>3</w:t>
        </w:r>
        <w:r>
          <w:rPr>
            <w:noProof/>
            <w:webHidden/>
          </w:rPr>
          <w:fldChar w:fldCharType="end"/>
        </w:r>
      </w:hyperlink>
    </w:p>
    <w:p w14:paraId="3F2160FF" w14:textId="0D7E1DE4" w:rsidR="00BD7B89" w:rsidRDefault="00BD7B89">
      <w:pPr>
        <w:pStyle w:val="12"/>
        <w:tabs>
          <w:tab w:val="right" w:leader="dot" w:pos="9061"/>
        </w:tabs>
        <w:rPr>
          <w:rFonts w:ascii="Calibri" w:hAnsi="Calibri"/>
          <w:b w:val="0"/>
          <w:noProof/>
          <w:kern w:val="2"/>
          <w:sz w:val="24"/>
        </w:rPr>
      </w:pPr>
      <w:hyperlink w:anchor="_Toc194558690" w:history="1">
        <w:r w:rsidRPr="00EB6147">
          <w:rPr>
            <w:rStyle w:val="a3"/>
            <w:noProof/>
          </w:rPr>
          <w:t>НОВОСТИ ПЕНСИОННОЙ ОТРАСЛИ</w:t>
        </w:r>
        <w:r>
          <w:rPr>
            <w:noProof/>
            <w:webHidden/>
          </w:rPr>
          <w:tab/>
        </w:r>
        <w:r>
          <w:rPr>
            <w:noProof/>
            <w:webHidden/>
          </w:rPr>
          <w:fldChar w:fldCharType="begin"/>
        </w:r>
        <w:r>
          <w:rPr>
            <w:noProof/>
            <w:webHidden/>
          </w:rPr>
          <w:instrText xml:space="preserve"> PAGEREF _Toc194558690 \h </w:instrText>
        </w:r>
        <w:r>
          <w:rPr>
            <w:noProof/>
            <w:webHidden/>
          </w:rPr>
        </w:r>
        <w:r>
          <w:rPr>
            <w:noProof/>
            <w:webHidden/>
          </w:rPr>
          <w:fldChar w:fldCharType="separate"/>
        </w:r>
        <w:r w:rsidR="00D268D2">
          <w:rPr>
            <w:noProof/>
            <w:webHidden/>
          </w:rPr>
          <w:t>14</w:t>
        </w:r>
        <w:r>
          <w:rPr>
            <w:noProof/>
            <w:webHidden/>
          </w:rPr>
          <w:fldChar w:fldCharType="end"/>
        </w:r>
      </w:hyperlink>
    </w:p>
    <w:p w14:paraId="7E92E5FB" w14:textId="49D3C6BA" w:rsidR="00BD7B89" w:rsidRDefault="00BD7B89">
      <w:pPr>
        <w:pStyle w:val="12"/>
        <w:tabs>
          <w:tab w:val="right" w:leader="dot" w:pos="9061"/>
        </w:tabs>
        <w:rPr>
          <w:rFonts w:ascii="Calibri" w:hAnsi="Calibri"/>
          <w:b w:val="0"/>
          <w:noProof/>
          <w:kern w:val="2"/>
          <w:sz w:val="24"/>
        </w:rPr>
      </w:pPr>
      <w:hyperlink w:anchor="_Toc194558691" w:history="1">
        <w:r w:rsidRPr="00EB6147">
          <w:rPr>
            <w:rStyle w:val="a3"/>
            <w:noProof/>
          </w:rPr>
          <w:t>Новости отрасли НПФ</w:t>
        </w:r>
        <w:r>
          <w:rPr>
            <w:noProof/>
            <w:webHidden/>
          </w:rPr>
          <w:tab/>
        </w:r>
        <w:r>
          <w:rPr>
            <w:noProof/>
            <w:webHidden/>
          </w:rPr>
          <w:fldChar w:fldCharType="begin"/>
        </w:r>
        <w:r>
          <w:rPr>
            <w:noProof/>
            <w:webHidden/>
          </w:rPr>
          <w:instrText xml:space="preserve"> PAGEREF _Toc194558691 \h </w:instrText>
        </w:r>
        <w:r>
          <w:rPr>
            <w:noProof/>
            <w:webHidden/>
          </w:rPr>
        </w:r>
        <w:r>
          <w:rPr>
            <w:noProof/>
            <w:webHidden/>
          </w:rPr>
          <w:fldChar w:fldCharType="separate"/>
        </w:r>
        <w:r w:rsidR="00D268D2">
          <w:rPr>
            <w:noProof/>
            <w:webHidden/>
          </w:rPr>
          <w:t>14</w:t>
        </w:r>
        <w:r>
          <w:rPr>
            <w:noProof/>
            <w:webHidden/>
          </w:rPr>
          <w:fldChar w:fldCharType="end"/>
        </w:r>
      </w:hyperlink>
    </w:p>
    <w:p w14:paraId="648DDC19" w14:textId="0FEBEC25" w:rsidR="00BD7B89" w:rsidRDefault="00BD7B89">
      <w:pPr>
        <w:pStyle w:val="21"/>
        <w:tabs>
          <w:tab w:val="right" w:leader="dot" w:pos="9061"/>
        </w:tabs>
        <w:rPr>
          <w:rFonts w:ascii="Calibri" w:hAnsi="Calibri"/>
          <w:noProof/>
          <w:kern w:val="2"/>
        </w:rPr>
      </w:pPr>
      <w:hyperlink w:anchor="_Toc194558692" w:history="1">
        <w:r w:rsidRPr="00EB6147">
          <w:rPr>
            <w:rStyle w:val="a3"/>
            <w:noProof/>
          </w:rPr>
          <w:t>Пенсия.pro, 02.04.2025, Банк России ужесточил правила тестирования пенсионных фондов</w:t>
        </w:r>
        <w:r>
          <w:rPr>
            <w:noProof/>
            <w:webHidden/>
          </w:rPr>
          <w:tab/>
        </w:r>
        <w:r>
          <w:rPr>
            <w:noProof/>
            <w:webHidden/>
          </w:rPr>
          <w:fldChar w:fldCharType="begin"/>
        </w:r>
        <w:r>
          <w:rPr>
            <w:noProof/>
            <w:webHidden/>
          </w:rPr>
          <w:instrText xml:space="preserve"> PAGEREF _Toc194558692 \h </w:instrText>
        </w:r>
        <w:r>
          <w:rPr>
            <w:noProof/>
            <w:webHidden/>
          </w:rPr>
        </w:r>
        <w:r>
          <w:rPr>
            <w:noProof/>
            <w:webHidden/>
          </w:rPr>
          <w:fldChar w:fldCharType="separate"/>
        </w:r>
        <w:r w:rsidR="00D268D2">
          <w:rPr>
            <w:noProof/>
            <w:webHidden/>
          </w:rPr>
          <w:t>14</w:t>
        </w:r>
        <w:r>
          <w:rPr>
            <w:noProof/>
            <w:webHidden/>
          </w:rPr>
          <w:fldChar w:fldCharType="end"/>
        </w:r>
      </w:hyperlink>
    </w:p>
    <w:p w14:paraId="3141861F" w14:textId="6A233C85" w:rsidR="00BD7B89" w:rsidRDefault="00BD7B89">
      <w:pPr>
        <w:pStyle w:val="31"/>
        <w:rPr>
          <w:rFonts w:ascii="Calibri" w:hAnsi="Calibri"/>
          <w:kern w:val="2"/>
        </w:rPr>
      </w:pPr>
      <w:hyperlink w:anchor="_Toc194558693" w:history="1">
        <w:r w:rsidRPr="00EB6147">
          <w:rPr>
            <w:rStyle w:val="a3"/>
          </w:rPr>
          <w:t>Банк России обновил сценарии обязательного стресс-тестирования негосударственных пенсионных фондов. В центре возможного развития ситуации — ухудшение экономического положения России.</w:t>
        </w:r>
        <w:r>
          <w:rPr>
            <w:webHidden/>
          </w:rPr>
          <w:tab/>
        </w:r>
        <w:r>
          <w:rPr>
            <w:webHidden/>
          </w:rPr>
          <w:fldChar w:fldCharType="begin"/>
        </w:r>
        <w:r>
          <w:rPr>
            <w:webHidden/>
          </w:rPr>
          <w:instrText xml:space="preserve"> PAGEREF _Toc194558693 \h </w:instrText>
        </w:r>
        <w:r>
          <w:rPr>
            <w:webHidden/>
          </w:rPr>
        </w:r>
        <w:r>
          <w:rPr>
            <w:webHidden/>
          </w:rPr>
          <w:fldChar w:fldCharType="separate"/>
        </w:r>
        <w:r w:rsidR="00D268D2">
          <w:rPr>
            <w:webHidden/>
          </w:rPr>
          <w:t>14</w:t>
        </w:r>
        <w:r>
          <w:rPr>
            <w:webHidden/>
          </w:rPr>
          <w:fldChar w:fldCharType="end"/>
        </w:r>
      </w:hyperlink>
    </w:p>
    <w:p w14:paraId="39C32156" w14:textId="744AAA0A" w:rsidR="00BD7B89" w:rsidRDefault="00BD7B89">
      <w:pPr>
        <w:pStyle w:val="21"/>
        <w:tabs>
          <w:tab w:val="right" w:leader="dot" w:pos="9061"/>
        </w:tabs>
        <w:rPr>
          <w:rFonts w:ascii="Calibri" w:hAnsi="Calibri"/>
          <w:noProof/>
          <w:kern w:val="2"/>
        </w:rPr>
      </w:pPr>
      <w:hyperlink w:anchor="_Toc194558694" w:history="1">
        <w:r w:rsidRPr="00EB6147">
          <w:rPr>
            <w:rStyle w:val="a3"/>
            <w:noProof/>
          </w:rPr>
          <w:t>Пенсия.pro, 02.04.2025, НПФ «Будущее» отчитался о росте прибыли на 39 %</w:t>
        </w:r>
        <w:r>
          <w:rPr>
            <w:noProof/>
            <w:webHidden/>
          </w:rPr>
          <w:tab/>
        </w:r>
        <w:r>
          <w:rPr>
            <w:noProof/>
            <w:webHidden/>
          </w:rPr>
          <w:fldChar w:fldCharType="begin"/>
        </w:r>
        <w:r>
          <w:rPr>
            <w:noProof/>
            <w:webHidden/>
          </w:rPr>
          <w:instrText xml:space="preserve"> PAGEREF _Toc194558694 \h </w:instrText>
        </w:r>
        <w:r>
          <w:rPr>
            <w:noProof/>
            <w:webHidden/>
          </w:rPr>
        </w:r>
        <w:r>
          <w:rPr>
            <w:noProof/>
            <w:webHidden/>
          </w:rPr>
          <w:fldChar w:fldCharType="separate"/>
        </w:r>
        <w:r w:rsidR="00D268D2">
          <w:rPr>
            <w:noProof/>
            <w:webHidden/>
          </w:rPr>
          <w:t>14</w:t>
        </w:r>
        <w:r>
          <w:rPr>
            <w:noProof/>
            <w:webHidden/>
          </w:rPr>
          <w:fldChar w:fldCharType="end"/>
        </w:r>
      </w:hyperlink>
    </w:p>
    <w:p w14:paraId="0DE2C46D" w14:textId="5A3E828F" w:rsidR="00BD7B89" w:rsidRDefault="00BD7B89">
      <w:pPr>
        <w:pStyle w:val="31"/>
        <w:rPr>
          <w:rFonts w:ascii="Calibri" w:hAnsi="Calibri"/>
          <w:kern w:val="2"/>
        </w:rPr>
      </w:pPr>
      <w:hyperlink w:anchor="_Toc194558695" w:history="1">
        <w:r w:rsidRPr="00EB6147">
          <w:rPr>
            <w:rStyle w:val="a3"/>
          </w:rPr>
          <w:t>Активы негосударственного пенсионного фонда «Будущее» увеличились за год на 3,7 %, до 303 млрд рублей, а обязательства возросли на 4 % — до 285,6 млрд рублей. Фонд завершил год с чистой прибылью в 6,1 млрд рублей — это на 39 % больше, чем в 2023 году (4,4 млрд рублей), следует из годовой отчетности.</w:t>
        </w:r>
        <w:r>
          <w:rPr>
            <w:webHidden/>
          </w:rPr>
          <w:tab/>
        </w:r>
        <w:r>
          <w:rPr>
            <w:webHidden/>
          </w:rPr>
          <w:fldChar w:fldCharType="begin"/>
        </w:r>
        <w:r>
          <w:rPr>
            <w:webHidden/>
          </w:rPr>
          <w:instrText xml:space="preserve"> PAGEREF _Toc194558695 \h </w:instrText>
        </w:r>
        <w:r>
          <w:rPr>
            <w:webHidden/>
          </w:rPr>
        </w:r>
        <w:r>
          <w:rPr>
            <w:webHidden/>
          </w:rPr>
          <w:fldChar w:fldCharType="separate"/>
        </w:r>
        <w:r w:rsidR="00D268D2">
          <w:rPr>
            <w:webHidden/>
          </w:rPr>
          <w:t>14</w:t>
        </w:r>
        <w:r>
          <w:rPr>
            <w:webHidden/>
          </w:rPr>
          <w:fldChar w:fldCharType="end"/>
        </w:r>
      </w:hyperlink>
    </w:p>
    <w:p w14:paraId="4F963774" w14:textId="0B95FB4D" w:rsidR="00BD7B89" w:rsidRDefault="00BD7B89">
      <w:pPr>
        <w:pStyle w:val="21"/>
        <w:tabs>
          <w:tab w:val="right" w:leader="dot" w:pos="9061"/>
        </w:tabs>
        <w:rPr>
          <w:rFonts w:ascii="Calibri" w:hAnsi="Calibri"/>
          <w:noProof/>
          <w:kern w:val="2"/>
        </w:rPr>
      </w:pPr>
      <w:hyperlink w:anchor="_Toc194558696" w:history="1">
        <w:r w:rsidRPr="00EB6147">
          <w:rPr>
            <w:rStyle w:val="a3"/>
            <w:noProof/>
          </w:rPr>
          <w:t>Ваш пенсионный брокер, 02.04.2025, НПФ «Достойное БУДУЩЕЕ» подвёл финансовые итоги за 2024 год</w:t>
        </w:r>
        <w:r>
          <w:rPr>
            <w:noProof/>
            <w:webHidden/>
          </w:rPr>
          <w:tab/>
        </w:r>
        <w:r>
          <w:rPr>
            <w:noProof/>
            <w:webHidden/>
          </w:rPr>
          <w:fldChar w:fldCharType="begin"/>
        </w:r>
        <w:r>
          <w:rPr>
            <w:noProof/>
            <w:webHidden/>
          </w:rPr>
          <w:instrText xml:space="preserve"> PAGEREF _Toc194558696 \h </w:instrText>
        </w:r>
        <w:r>
          <w:rPr>
            <w:noProof/>
            <w:webHidden/>
          </w:rPr>
        </w:r>
        <w:r>
          <w:rPr>
            <w:noProof/>
            <w:webHidden/>
          </w:rPr>
          <w:fldChar w:fldCharType="separate"/>
        </w:r>
        <w:r w:rsidR="00D268D2">
          <w:rPr>
            <w:noProof/>
            <w:webHidden/>
          </w:rPr>
          <w:t>16</w:t>
        </w:r>
        <w:r>
          <w:rPr>
            <w:noProof/>
            <w:webHidden/>
          </w:rPr>
          <w:fldChar w:fldCharType="end"/>
        </w:r>
      </w:hyperlink>
    </w:p>
    <w:p w14:paraId="50DA3D46" w14:textId="24110931" w:rsidR="00BD7B89" w:rsidRDefault="00BD7B89">
      <w:pPr>
        <w:pStyle w:val="31"/>
        <w:rPr>
          <w:rFonts w:ascii="Calibri" w:hAnsi="Calibri"/>
          <w:kern w:val="2"/>
        </w:rPr>
      </w:pPr>
      <w:hyperlink w:anchor="_Toc194558697" w:history="1">
        <w:r w:rsidRPr="00EB6147">
          <w:rPr>
            <w:rStyle w:val="a3"/>
          </w:rPr>
          <w:t>НПФ «Достойное БУДУЩЕЕ» опубликовал финансовые результаты за 2024 год. Как следует из бухгалтерской отчетности, объем активов фонда на 31 декабря 2024 года достиг суммы в 318,37 млрд рублей, что на 5% превышает показатель 2023 года. Существенный рост продемонстрировали денежные средства и их эквиваленты - 45,7 млрд рублей против 18,8 млрд рублей годом ранее, что связано с увеличением доходности инвестиционной деятельности и оптимизацией портфеля активов.</w:t>
        </w:r>
        <w:r>
          <w:rPr>
            <w:webHidden/>
          </w:rPr>
          <w:tab/>
        </w:r>
        <w:r>
          <w:rPr>
            <w:webHidden/>
          </w:rPr>
          <w:fldChar w:fldCharType="begin"/>
        </w:r>
        <w:r>
          <w:rPr>
            <w:webHidden/>
          </w:rPr>
          <w:instrText xml:space="preserve"> PAGEREF _Toc194558697 \h </w:instrText>
        </w:r>
        <w:r>
          <w:rPr>
            <w:webHidden/>
          </w:rPr>
        </w:r>
        <w:r>
          <w:rPr>
            <w:webHidden/>
          </w:rPr>
          <w:fldChar w:fldCharType="separate"/>
        </w:r>
        <w:r w:rsidR="00D268D2">
          <w:rPr>
            <w:webHidden/>
          </w:rPr>
          <w:t>16</w:t>
        </w:r>
        <w:r>
          <w:rPr>
            <w:webHidden/>
          </w:rPr>
          <w:fldChar w:fldCharType="end"/>
        </w:r>
      </w:hyperlink>
    </w:p>
    <w:p w14:paraId="5F6D81FE" w14:textId="0B78D241" w:rsidR="00BD7B89" w:rsidRDefault="00BD7B89">
      <w:pPr>
        <w:pStyle w:val="21"/>
        <w:tabs>
          <w:tab w:val="right" w:leader="dot" w:pos="9061"/>
        </w:tabs>
        <w:rPr>
          <w:rFonts w:ascii="Calibri" w:hAnsi="Calibri"/>
          <w:noProof/>
          <w:kern w:val="2"/>
        </w:rPr>
      </w:pPr>
      <w:hyperlink w:anchor="_Toc194558698" w:history="1">
        <w:r w:rsidRPr="00EB6147">
          <w:rPr>
            <w:rStyle w:val="a3"/>
            <w:noProof/>
          </w:rPr>
          <w:t>НАПФ, 02.04.2025, Кешбэк на счет ПДС доступен в СЕВЕРГАЗБАНКЕ и НПФ ГАЗФОНД пенсионные накопления</w:t>
        </w:r>
        <w:r>
          <w:rPr>
            <w:noProof/>
            <w:webHidden/>
          </w:rPr>
          <w:tab/>
        </w:r>
        <w:r>
          <w:rPr>
            <w:noProof/>
            <w:webHidden/>
          </w:rPr>
          <w:fldChar w:fldCharType="begin"/>
        </w:r>
        <w:r>
          <w:rPr>
            <w:noProof/>
            <w:webHidden/>
          </w:rPr>
          <w:instrText xml:space="preserve"> PAGEREF _Toc194558698 \h </w:instrText>
        </w:r>
        <w:r>
          <w:rPr>
            <w:noProof/>
            <w:webHidden/>
          </w:rPr>
        </w:r>
        <w:r>
          <w:rPr>
            <w:noProof/>
            <w:webHidden/>
          </w:rPr>
          <w:fldChar w:fldCharType="separate"/>
        </w:r>
        <w:r w:rsidR="00D268D2">
          <w:rPr>
            <w:noProof/>
            <w:webHidden/>
          </w:rPr>
          <w:t>17</w:t>
        </w:r>
        <w:r>
          <w:rPr>
            <w:noProof/>
            <w:webHidden/>
          </w:rPr>
          <w:fldChar w:fldCharType="end"/>
        </w:r>
      </w:hyperlink>
    </w:p>
    <w:p w14:paraId="0720C5C4" w14:textId="2C795549" w:rsidR="00BD7B89" w:rsidRDefault="00BD7B89">
      <w:pPr>
        <w:pStyle w:val="31"/>
        <w:rPr>
          <w:rFonts w:ascii="Calibri" w:hAnsi="Calibri"/>
          <w:kern w:val="2"/>
        </w:rPr>
      </w:pPr>
      <w:hyperlink w:anchor="_Toc194558699" w:history="1">
        <w:r w:rsidRPr="00EB6147">
          <w:rPr>
            <w:rStyle w:val="a3"/>
          </w:rPr>
          <w:t>В СЕВЕРГАЗБАНКЕ доступен инновационный сервис, позволяющий клиентам переводить полученный кешбэк на свой счет Программы долгосрочных сбережений в НПФ ГАЗФОНД пенсионные накопления. Автоматическое перечисление кешбэка открывает новые возможности для накопления средств на будущее и является удобным инструментом для тех, кто планирует обеспечить себе финансовую стабильность.</w:t>
        </w:r>
        <w:r>
          <w:rPr>
            <w:webHidden/>
          </w:rPr>
          <w:tab/>
        </w:r>
        <w:r>
          <w:rPr>
            <w:webHidden/>
          </w:rPr>
          <w:fldChar w:fldCharType="begin"/>
        </w:r>
        <w:r>
          <w:rPr>
            <w:webHidden/>
          </w:rPr>
          <w:instrText xml:space="preserve"> PAGEREF _Toc194558699 \h </w:instrText>
        </w:r>
        <w:r>
          <w:rPr>
            <w:webHidden/>
          </w:rPr>
        </w:r>
        <w:r>
          <w:rPr>
            <w:webHidden/>
          </w:rPr>
          <w:fldChar w:fldCharType="separate"/>
        </w:r>
        <w:r w:rsidR="00D268D2">
          <w:rPr>
            <w:webHidden/>
          </w:rPr>
          <w:t>17</w:t>
        </w:r>
        <w:r>
          <w:rPr>
            <w:webHidden/>
          </w:rPr>
          <w:fldChar w:fldCharType="end"/>
        </w:r>
      </w:hyperlink>
    </w:p>
    <w:p w14:paraId="0F4FB78A" w14:textId="609DE9AF" w:rsidR="00BD7B89" w:rsidRDefault="00BD7B89">
      <w:pPr>
        <w:pStyle w:val="21"/>
        <w:tabs>
          <w:tab w:val="right" w:leader="dot" w:pos="9061"/>
        </w:tabs>
        <w:rPr>
          <w:rFonts w:ascii="Calibri" w:hAnsi="Calibri"/>
          <w:noProof/>
          <w:kern w:val="2"/>
        </w:rPr>
      </w:pPr>
      <w:hyperlink w:anchor="_Toc194558700" w:history="1">
        <w:r w:rsidRPr="00EB6147">
          <w:rPr>
            <w:rStyle w:val="a3"/>
            <w:noProof/>
          </w:rPr>
          <w:t>РБК, 02.04.2025, МНПФ «БОЛЬШОЙ» выступил партнером VIII конференции ФИНФИН-2025</w:t>
        </w:r>
        <w:r>
          <w:rPr>
            <w:noProof/>
            <w:webHidden/>
          </w:rPr>
          <w:tab/>
        </w:r>
        <w:r>
          <w:rPr>
            <w:noProof/>
            <w:webHidden/>
          </w:rPr>
          <w:fldChar w:fldCharType="begin"/>
        </w:r>
        <w:r>
          <w:rPr>
            <w:noProof/>
            <w:webHidden/>
          </w:rPr>
          <w:instrText xml:space="preserve"> PAGEREF _Toc194558700 \h </w:instrText>
        </w:r>
        <w:r>
          <w:rPr>
            <w:noProof/>
            <w:webHidden/>
          </w:rPr>
        </w:r>
        <w:r>
          <w:rPr>
            <w:noProof/>
            <w:webHidden/>
          </w:rPr>
          <w:fldChar w:fldCharType="separate"/>
        </w:r>
        <w:r w:rsidR="00D268D2">
          <w:rPr>
            <w:noProof/>
            <w:webHidden/>
          </w:rPr>
          <w:t>18</w:t>
        </w:r>
        <w:r>
          <w:rPr>
            <w:noProof/>
            <w:webHidden/>
          </w:rPr>
          <w:fldChar w:fldCharType="end"/>
        </w:r>
      </w:hyperlink>
    </w:p>
    <w:p w14:paraId="0040D99E" w14:textId="101E29C8" w:rsidR="00BD7B89" w:rsidRDefault="00BD7B89">
      <w:pPr>
        <w:pStyle w:val="31"/>
        <w:rPr>
          <w:rFonts w:ascii="Calibri" w:hAnsi="Calibri"/>
          <w:kern w:val="2"/>
        </w:rPr>
      </w:pPr>
      <w:hyperlink w:anchor="_Toc194558701" w:history="1">
        <w:r w:rsidRPr="00EB6147">
          <w:rPr>
            <w:rStyle w:val="a3"/>
          </w:rPr>
          <w:t>МНПФ «БОЛЬШОЙ» выступил партнером VIII конференции по финансовой грамотности и финансовой доступности ФИНФИН-2025, посвященной теме повышения финграмотности среди трудовых коллективов. Мероприятие, организованное Национальной ассоциацией участников микрофинансового рынка (НАУМИР) в партнерстве с Ассоциацией развития финансовой грамотности (АРФГ), прошло в формате открытого диалога между представителями финансовых институтов, государственных органов, трудовых коллективов и экспертного сообщества. На площадке мероприятия эксперты МНПФ «БОЛЬШОЙ представили свои финансовые решение, которые позволяют россиянам формировать долгосрочные сбережения.</w:t>
        </w:r>
        <w:r>
          <w:rPr>
            <w:webHidden/>
          </w:rPr>
          <w:tab/>
        </w:r>
        <w:r>
          <w:rPr>
            <w:webHidden/>
          </w:rPr>
          <w:fldChar w:fldCharType="begin"/>
        </w:r>
        <w:r>
          <w:rPr>
            <w:webHidden/>
          </w:rPr>
          <w:instrText xml:space="preserve"> PAGEREF _Toc194558701 \h </w:instrText>
        </w:r>
        <w:r>
          <w:rPr>
            <w:webHidden/>
          </w:rPr>
        </w:r>
        <w:r>
          <w:rPr>
            <w:webHidden/>
          </w:rPr>
          <w:fldChar w:fldCharType="separate"/>
        </w:r>
        <w:r w:rsidR="00D268D2">
          <w:rPr>
            <w:webHidden/>
          </w:rPr>
          <w:t>18</w:t>
        </w:r>
        <w:r>
          <w:rPr>
            <w:webHidden/>
          </w:rPr>
          <w:fldChar w:fldCharType="end"/>
        </w:r>
      </w:hyperlink>
    </w:p>
    <w:p w14:paraId="52E92384" w14:textId="546EFB9B" w:rsidR="00BD7B89" w:rsidRDefault="00BD7B89">
      <w:pPr>
        <w:pStyle w:val="21"/>
        <w:tabs>
          <w:tab w:val="right" w:leader="dot" w:pos="9061"/>
        </w:tabs>
        <w:rPr>
          <w:rFonts w:ascii="Calibri" w:hAnsi="Calibri"/>
          <w:noProof/>
          <w:kern w:val="2"/>
        </w:rPr>
      </w:pPr>
      <w:hyperlink w:anchor="_Toc194558702" w:history="1">
        <w:r w:rsidRPr="00EB6147">
          <w:rPr>
            <w:rStyle w:val="a3"/>
            <w:noProof/>
          </w:rPr>
          <w:t>Газета.ru, 02.04.2025, Стало известно, сколько россиян помогают финансово пожилым родственникам</w:t>
        </w:r>
        <w:r>
          <w:rPr>
            <w:noProof/>
            <w:webHidden/>
          </w:rPr>
          <w:tab/>
        </w:r>
        <w:r>
          <w:rPr>
            <w:noProof/>
            <w:webHidden/>
          </w:rPr>
          <w:fldChar w:fldCharType="begin"/>
        </w:r>
        <w:r>
          <w:rPr>
            <w:noProof/>
            <w:webHidden/>
          </w:rPr>
          <w:instrText xml:space="preserve"> PAGEREF _Toc194558702 \h </w:instrText>
        </w:r>
        <w:r>
          <w:rPr>
            <w:noProof/>
            <w:webHidden/>
          </w:rPr>
        </w:r>
        <w:r>
          <w:rPr>
            <w:noProof/>
            <w:webHidden/>
          </w:rPr>
          <w:fldChar w:fldCharType="separate"/>
        </w:r>
        <w:r w:rsidR="00D268D2">
          <w:rPr>
            <w:noProof/>
            <w:webHidden/>
          </w:rPr>
          <w:t>19</w:t>
        </w:r>
        <w:r>
          <w:rPr>
            <w:noProof/>
            <w:webHidden/>
          </w:rPr>
          <w:fldChar w:fldCharType="end"/>
        </w:r>
      </w:hyperlink>
    </w:p>
    <w:p w14:paraId="550463BB" w14:textId="52D9CBFE" w:rsidR="00BD7B89" w:rsidRDefault="00BD7B89">
      <w:pPr>
        <w:pStyle w:val="31"/>
        <w:rPr>
          <w:rFonts w:ascii="Calibri" w:hAnsi="Calibri"/>
          <w:kern w:val="2"/>
        </w:rPr>
      </w:pPr>
      <w:hyperlink w:anchor="_Toc194558703" w:history="1">
        <w:r w:rsidRPr="00EB6147">
          <w:rPr>
            <w:rStyle w:val="a3"/>
          </w:rPr>
          <w:t>Подавляющее большинство россиян (83%) оказывают финансовую помощь пожилым родственникам. При этом почти половина россиян (46%) рассказали, что регулярно уделяют внимание своим возрастным близким (звонят, вместе проводят время), а чуть больше трети (34%) помогают с решением бытовых вопросов. К таким выводам пришли НПФ «Достойное БУДУЩЕЕ» и проект по финансовому просвещению «ГраФин», проведя исследование, с результатами которого ознакомилась «Газета.ru».</w:t>
        </w:r>
        <w:r>
          <w:rPr>
            <w:webHidden/>
          </w:rPr>
          <w:tab/>
        </w:r>
        <w:r>
          <w:rPr>
            <w:webHidden/>
          </w:rPr>
          <w:fldChar w:fldCharType="begin"/>
        </w:r>
        <w:r>
          <w:rPr>
            <w:webHidden/>
          </w:rPr>
          <w:instrText xml:space="preserve"> PAGEREF _Toc194558703 \h </w:instrText>
        </w:r>
        <w:r>
          <w:rPr>
            <w:webHidden/>
          </w:rPr>
        </w:r>
        <w:r>
          <w:rPr>
            <w:webHidden/>
          </w:rPr>
          <w:fldChar w:fldCharType="separate"/>
        </w:r>
        <w:r w:rsidR="00D268D2">
          <w:rPr>
            <w:webHidden/>
          </w:rPr>
          <w:t>19</w:t>
        </w:r>
        <w:r>
          <w:rPr>
            <w:webHidden/>
          </w:rPr>
          <w:fldChar w:fldCharType="end"/>
        </w:r>
      </w:hyperlink>
    </w:p>
    <w:p w14:paraId="2472F0ED" w14:textId="57EC520D" w:rsidR="00BD7B89" w:rsidRDefault="00BD7B89">
      <w:pPr>
        <w:pStyle w:val="21"/>
        <w:tabs>
          <w:tab w:val="right" w:leader="dot" w:pos="9061"/>
        </w:tabs>
        <w:rPr>
          <w:rFonts w:ascii="Calibri" w:hAnsi="Calibri"/>
          <w:noProof/>
          <w:kern w:val="2"/>
        </w:rPr>
      </w:pPr>
      <w:hyperlink w:anchor="_Toc194558704" w:history="1">
        <w:r w:rsidRPr="00EB6147">
          <w:rPr>
            <w:rStyle w:val="a3"/>
            <w:noProof/>
          </w:rPr>
          <w:t xml:space="preserve">Пенсия PRO, 02.04.2025, </w:t>
        </w:r>
        <w:r w:rsidRPr="00EB6147">
          <w:rPr>
            <w:rStyle w:val="a3"/>
            <w:rFonts w:eastAsia="Verdana"/>
            <w:noProof/>
          </w:rPr>
          <w:t>83 % россиян вынуждены помогать родственникам-пенсионерам деньгами - опрос</w:t>
        </w:r>
        <w:r>
          <w:rPr>
            <w:noProof/>
            <w:webHidden/>
          </w:rPr>
          <w:tab/>
        </w:r>
        <w:r>
          <w:rPr>
            <w:noProof/>
            <w:webHidden/>
          </w:rPr>
          <w:fldChar w:fldCharType="begin"/>
        </w:r>
        <w:r>
          <w:rPr>
            <w:noProof/>
            <w:webHidden/>
          </w:rPr>
          <w:instrText xml:space="preserve"> PAGEREF _Toc194558704 \h </w:instrText>
        </w:r>
        <w:r>
          <w:rPr>
            <w:noProof/>
            <w:webHidden/>
          </w:rPr>
        </w:r>
        <w:r>
          <w:rPr>
            <w:noProof/>
            <w:webHidden/>
          </w:rPr>
          <w:fldChar w:fldCharType="separate"/>
        </w:r>
        <w:r w:rsidR="00D268D2">
          <w:rPr>
            <w:noProof/>
            <w:webHidden/>
          </w:rPr>
          <w:t>19</w:t>
        </w:r>
        <w:r>
          <w:rPr>
            <w:noProof/>
            <w:webHidden/>
          </w:rPr>
          <w:fldChar w:fldCharType="end"/>
        </w:r>
      </w:hyperlink>
    </w:p>
    <w:p w14:paraId="68916E77" w14:textId="52E64CB4" w:rsidR="00BD7B89" w:rsidRDefault="00BD7B89">
      <w:pPr>
        <w:pStyle w:val="31"/>
        <w:rPr>
          <w:rFonts w:ascii="Calibri" w:hAnsi="Calibri"/>
          <w:kern w:val="2"/>
        </w:rPr>
      </w:pPr>
      <w:hyperlink w:anchor="_Toc194558705" w:history="1">
        <w:r w:rsidRPr="00EB6147">
          <w:rPr>
            <w:rStyle w:val="a3"/>
          </w:rPr>
          <w:t xml:space="preserve">83 % россиян заявили, что оказывают финансовую помощь пожилым родственникам. О результатах опроса рассказали аналитики </w:t>
        </w:r>
        <w:r w:rsidRPr="00EB6147">
          <w:rPr>
            <w:rStyle w:val="a3"/>
            <w:b/>
          </w:rPr>
          <w:t>НПФ</w:t>
        </w:r>
        <w:r w:rsidRPr="00EB6147">
          <w:rPr>
            <w:rStyle w:val="a3"/>
          </w:rPr>
          <w:t xml:space="preserve"> «Достойное будущее» и проекта «ГраФин».</w:t>
        </w:r>
        <w:r>
          <w:rPr>
            <w:webHidden/>
          </w:rPr>
          <w:tab/>
        </w:r>
        <w:r>
          <w:rPr>
            <w:webHidden/>
          </w:rPr>
          <w:fldChar w:fldCharType="begin"/>
        </w:r>
        <w:r>
          <w:rPr>
            <w:webHidden/>
          </w:rPr>
          <w:instrText xml:space="preserve"> PAGEREF _Toc194558705 \h </w:instrText>
        </w:r>
        <w:r>
          <w:rPr>
            <w:webHidden/>
          </w:rPr>
        </w:r>
        <w:r>
          <w:rPr>
            <w:webHidden/>
          </w:rPr>
          <w:fldChar w:fldCharType="separate"/>
        </w:r>
        <w:r w:rsidR="00D268D2">
          <w:rPr>
            <w:webHidden/>
          </w:rPr>
          <w:t>19</w:t>
        </w:r>
        <w:r>
          <w:rPr>
            <w:webHidden/>
          </w:rPr>
          <w:fldChar w:fldCharType="end"/>
        </w:r>
      </w:hyperlink>
    </w:p>
    <w:p w14:paraId="2E47B82D" w14:textId="368D10E9" w:rsidR="00BD7B89" w:rsidRDefault="00BD7B89">
      <w:pPr>
        <w:pStyle w:val="21"/>
        <w:tabs>
          <w:tab w:val="right" w:leader="dot" w:pos="9061"/>
        </w:tabs>
        <w:rPr>
          <w:rFonts w:ascii="Calibri" w:hAnsi="Calibri"/>
          <w:noProof/>
          <w:kern w:val="2"/>
        </w:rPr>
      </w:pPr>
      <w:hyperlink w:anchor="_Toc194558706" w:history="1">
        <w:r w:rsidRPr="00EB6147">
          <w:rPr>
            <w:rStyle w:val="a3"/>
            <w:noProof/>
          </w:rPr>
          <w:t xml:space="preserve">Пенсия PRO, 02.04.2025, </w:t>
        </w:r>
        <w:r w:rsidRPr="00EB6147">
          <w:rPr>
            <w:rStyle w:val="a3"/>
            <w:rFonts w:eastAsia="Verdana"/>
            <w:noProof/>
          </w:rPr>
          <w:t>Взносы клиентов НПФ «Большой» выросли в полтора раза</w:t>
        </w:r>
        <w:r>
          <w:rPr>
            <w:noProof/>
            <w:webHidden/>
          </w:rPr>
          <w:tab/>
        </w:r>
        <w:r>
          <w:rPr>
            <w:noProof/>
            <w:webHidden/>
          </w:rPr>
          <w:fldChar w:fldCharType="begin"/>
        </w:r>
        <w:r>
          <w:rPr>
            <w:noProof/>
            <w:webHidden/>
          </w:rPr>
          <w:instrText xml:space="preserve"> PAGEREF _Toc194558706 \h </w:instrText>
        </w:r>
        <w:r>
          <w:rPr>
            <w:noProof/>
            <w:webHidden/>
          </w:rPr>
        </w:r>
        <w:r>
          <w:rPr>
            <w:noProof/>
            <w:webHidden/>
          </w:rPr>
          <w:fldChar w:fldCharType="separate"/>
        </w:r>
        <w:r w:rsidR="00D268D2">
          <w:rPr>
            <w:noProof/>
            <w:webHidden/>
          </w:rPr>
          <w:t>20</w:t>
        </w:r>
        <w:r>
          <w:rPr>
            <w:noProof/>
            <w:webHidden/>
          </w:rPr>
          <w:fldChar w:fldCharType="end"/>
        </w:r>
      </w:hyperlink>
    </w:p>
    <w:p w14:paraId="1071743C" w14:textId="7CC42379" w:rsidR="00BD7B89" w:rsidRDefault="00BD7B89">
      <w:pPr>
        <w:pStyle w:val="31"/>
        <w:rPr>
          <w:rFonts w:ascii="Calibri" w:hAnsi="Calibri"/>
          <w:kern w:val="2"/>
        </w:rPr>
      </w:pPr>
      <w:hyperlink w:anchor="_Toc194558707" w:history="1">
        <w:r w:rsidRPr="00EB6147">
          <w:rPr>
            <w:rStyle w:val="a3"/>
          </w:rPr>
          <w:t xml:space="preserve">Клиенты </w:t>
        </w:r>
        <w:r w:rsidRPr="00EB6147">
          <w:rPr>
            <w:rStyle w:val="a3"/>
            <w:b/>
          </w:rPr>
          <w:t>НПФ</w:t>
        </w:r>
        <w:r w:rsidRPr="00EB6147">
          <w:rPr>
            <w:rStyle w:val="a3"/>
          </w:rPr>
          <w:t xml:space="preserve"> «Большой», входящего в группу «Регион», внесли за год на пенсионные счета 377 млн рублей. Это на 48 % больше, чем в 2023-м. Значительная доля общих взносов приходится на средства по договорам </w:t>
        </w:r>
        <w:r w:rsidRPr="00EB6147">
          <w:rPr>
            <w:rStyle w:val="a3"/>
            <w:b/>
          </w:rPr>
          <w:t>негосударственного пенсионного обеспечения</w:t>
        </w:r>
        <w:r w:rsidRPr="00EB6147">
          <w:rPr>
            <w:rStyle w:val="a3"/>
          </w:rPr>
          <w:t xml:space="preserve"> и долгосрочных сбережений: сумма этих вложений составила 305 млн рублей, следует из годовой отчетности фонда.</w:t>
        </w:r>
        <w:r>
          <w:rPr>
            <w:webHidden/>
          </w:rPr>
          <w:tab/>
        </w:r>
        <w:r>
          <w:rPr>
            <w:webHidden/>
          </w:rPr>
          <w:fldChar w:fldCharType="begin"/>
        </w:r>
        <w:r>
          <w:rPr>
            <w:webHidden/>
          </w:rPr>
          <w:instrText xml:space="preserve"> PAGEREF _Toc194558707 \h </w:instrText>
        </w:r>
        <w:r>
          <w:rPr>
            <w:webHidden/>
          </w:rPr>
        </w:r>
        <w:r>
          <w:rPr>
            <w:webHidden/>
          </w:rPr>
          <w:fldChar w:fldCharType="separate"/>
        </w:r>
        <w:r w:rsidR="00D268D2">
          <w:rPr>
            <w:webHidden/>
          </w:rPr>
          <w:t>20</w:t>
        </w:r>
        <w:r>
          <w:rPr>
            <w:webHidden/>
          </w:rPr>
          <w:fldChar w:fldCharType="end"/>
        </w:r>
      </w:hyperlink>
    </w:p>
    <w:p w14:paraId="6B84EC20" w14:textId="751C8D73" w:rsidR="00BD7B89" w:rsidRDefault="00BD7B89">
      <w:pPr>
        <w:pStyle w:val="12"/>
        <w:tabs>
          <w:tab w:val="right" w:leader="dot" w:pos="9061"/>
        </w:tabs>
        <w:rPr>
          <w:rFonts w:ascii="Calibri" w:hAnsi="Calibri"/>
          <w:b w:val="0"/>
          <w:noProof/>
          <w:kern w:val="2"/>
          <w:sz w:val="24"/>
        </w:rPr>
      </w:pPr>
      <w:hyperlink w:anchor="_Toc194558708" w:history="1">
        <w:r w:rsidRPr="00EB6147">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_Toc194558708 \h </w:instrText>
        </w:r>
        <w:r>
          <w:rPr>
            <w:noProof/>
            <w:webHidden/>
          </w:rPr>
        </w:r>
        <w:r>
          <w:rPr>
            <w:noProof/>
            <w:webHidden/>
          </w:rPr>
          <w:fldChar w:fldCharType="separate"/>
        </w:r>
        <w:r w:rsidR="00D268D2">
          <w:rPr>
            <w:noProof/>
            <w:webHidden/>
          </w:rPr>
          <w:t>21</w:t>
        </w:r>
        <w:r>
          <w:rPr>
            <w:noProof/>
            <w:webHidden/>
          </w:rPr>
          <w:fldChar w:fldCharType="end"/>
        </w:r>
      </w:hyperlink>
    </w:p>
    <w:p w14:paraId="656368A8" w14:textId="2A938874" w:rsidR="00BD7B89" w:rsidRDefault="00BD7B89">
      <w:pPr>
        <w:pStyle w:val="21"/>
        <w:tabs>
          <w:tab w:val="right" w:leader="dot" w:pos="9061"/>
        </w:tabs>
        <w:rPr>
          <w:rFonts w:ascii="Calibri" w:hAnsi="Calibri"/>
          <w:noProof/>
          <w:kern w:val="2"/>
        </w:rPr>
      </w:pPr>
      <w:hyperlink w:anchor="_Toc194558709" w:history="1">
        <w:r w:rsidRPr="00EB6147">
          <w:rPr>
            <w:rStyle w:val="a3"/>
            <w:noProof/>
          </w:rPr>
          <w:t>Российская газета, 02.04.2025, Минфин и ЦБ превратят 40% сбережений россиян в "длинные деньги" для страны</w:t>
        </w:r>
        <w:r>
          <w:rPr>
            <w:noProof/>
            <w:webHidden/>
          </w:rPr>
          <w:tab/>
        </w:r>
        <w:r>
          <w:rPr>
            <w:noProof/>
            <w:webHidden/>
          </w:rPr>
          <w:fldChar w:fldCharType="begin"/>
        </w:r>
        <w:r>
          <w:rPr>
            <w:noProof/>
            <w:webHidden/>
          </w:rPr>
          <w:instrText xml:space="preserve"> PAGEREF _Toc194558709 \h </w:instrText>
        </w:r>
        <w:r>
          <w:rPr>
            <w:noProof/>
            <w:webHidden/>
          </w:rPr>
        </w:r>
        <w:r>
          <w:rPr>
            <w:noProof/>
            <w:webHidden/>
          </w:rPr>
          <w:fldChar w:fldCharType="separate"/>
        </w:r>
        <w:r w:rsidR="00D268D2">
          <w:rPr>
            <w:noProof/>
            <w:webHidden/>
          </w:rPr>
          <w:t>21</w:t>
        </w:r>
        <w:r>
          <w:rPr>
            <w:noProof/>
            <w:webHidden/>
          </w:rPr>
          <w:fldChar w:fldCharType="end"/>
        </w:r>
      </w:hyperlink>
    </w:p>
    <w:p w14:paraId="31B2D790" w14:textId="42C34AA4" w:rsidR="00BD7B89" w:rsidRDefault="00BD7B89">
      <w:pPr>
        <w:pStyle w:val="31"/>
        <w:rPr>
          <w:rFonts w:ascii="Calibri" w:hAnsi="Calibri"/>
          <w:kern w:val="2"/>
        </w:rPr>
      </w:pPr>
      <w:hyperlink w:anchor="_Toc194558710" w:history="1">
        <w:r w:rsidRPr="00EB6147">
          <w:rPr>
            <w:rStyle w:val="a3"/>
          </w:rPr>
          <w:t>Минфин и Банк России задались целью сделать 40% сбережений россиян долгосрочными. Эта цель закреплена в федеральном проекте по развитию финансового рынка РФ, над которыми совместно работают два ведомства. Откладывать деньги на будущее для себя и своих детей люди будут сугубо добровольно, для этого финансовые власти обсуждают целый набор льгот и мер поддержки. России требуются "длинные деньги" на развитие экономики, объяснили "РГ" планы властей эксперты.</w:t>
        </w:r>
        <w:r>
          <w:rPr>
            <w:webHidden/>
          </w:rPr>
          <w:tab/>
        </w:r>
        <w:r>
          <w:rPr>
            <w:webHidden/>
          </w:rPr>
          <w:fldChar w:fldCharType="begin"/>
        </w:r>
        <w:r>
          <w:rPr>
            <w:webHidden/>
          </w:rPr>
          <w:instrText xml:space="preserve"> PAGEREF _Toc194558710 \h </w:instrText>
        </w:r>
        <w:r>
          <w:rPr>
            <w:webHidden/>
          </w:rPr>
        </w:r>
        <w:r>
          <w:rPr>
            <w:webHidden/>
          </w:rPr>
          <w:fldChar w:fldCharType="separate"/>
        </w:r>
        <w:r w:rsidR="00D268D2">
          <w:rPr>
            <w:webHidden/>
          </w:rPr>
          <w:t>21</w:t>
        </w:r>
        <w:r>
          <w:rPr>
            <w:webHidden/>
          </w:rPr>
          <w:fldChar w:fldCharType="end"/>
        </w:r>
      </w:hyperlink>
    </w:p>
    <w:p w14:paraId="350483AF" w14:textId="54A6CFDF" w:rsidR="00BD7B89" w:rsidRDefault="00BD7B89">
      <w:pPr>
        <w:pStyle w:val="21"/>
        <w:tabs>
          <w:tab w:val="right" w:leader="dot" w:pos="9061"/>
        </w:tabs>
        <w:rPr>
          <w:rFonts w:ascii="Calibri" w:hAnsi="Calibri"/>
          <w:noProof/>
          <w:kern w:val="2"/>
        </w:rPr>
      </w:pPr>
      <w:hyperlink w:anchor="_Toc194558711" w:history="1">
        <w:r w:rsidRPr="00EB6147">
          <w:rPr>
            <w:rStyle w:val="a3"/>
            <w:noProof/>
          </w:rPr>
          <w:t>РБК Инвестиции, 02.04.2025, Минфин подготовил льготу для работодателей за софинансирование ПДС</w:t>
        </w:r>
        <w:r>
          <w:rPr>
            <w:noProof/>
            <w:webHidden/>
          </w:rPr>
          <w:tab/>
        </w:r>
        <w:r>
          <w:rPr>
            <w:noProof/>
            <w:webHidden/>
          </w:rPr>
          <w:fldChar w:fldCharType="begin"/>
        </w:r>
        <w:r>
          <w:rPr>
            <w:noProof/>
            <w:webHidden/>
          </w:rPr>
          <w:instrText xml:space="preserve"> PAGEREF _Toc194558711 \h </w:instrText>
        </w:r>
        <w:r>
          <w:rPr>
            <w:noProof/>
            <w:webHidden/>
          </w:rPr>
        </w:r>
        <w:r>
          <w:rPr>
            <w:noProof/>
            <w:webHidden/>
          </w:rPr>
          <w:fldChar w:fldCharType="separate"/>
        </w:r>
        <w:r w:rsidR="00D268D2">
          <w:rPr>
            <w:noProof/>
            <w:webHidden/>
          </w:rPr>
          <w:t>22</w:t>
        </w:r>
        <w:r>
          <w:rPr>
            <w:noProof/>
            <w:webHidden/>
          </w:rPr>
          <w:fldChar w:fldCharType="end"/>
        </w:r>
      </w:hyperlink>
    </w:p>
    <w:p w14:paraId="093C9849" w14:textId="676CBD0A" w:rsidR="00BD7B89" w:rsidRDefault="00BD7B89">
      <w:pPr>
        <w:pStyle w:val="31"/>
        <w:rPr>
          <w:rFonts w:ascii="Calibri" w:hAnsi="Calibri"/>
          <w:kern w:val="2"/>
        </w:rPr>
      </w:pPr>
      <w:hyperlink w:anchor="_Toc194558712" w:history="1">
        <w:r w:rsidRPr="00EB6147">
          <w:rPr>
            <w:rStyle w:val="a3"/>
          </w:rPr>
          <w:t>Минфин определился, как стимулировать работодателей к участию в софинансировании расходов работников на уплату добровольных взносов в рамках программы долгосрочных сбережений. Законопроект уже подготовлен.</w:t>
        </w:r>
        <w:r>
          <w:rPr>
            <w:webHidden/>
          </w:rPr>
          <w:tab/>
        </w:r>
        <w:r>
          <w:rPr>
            <w:webHidden/>
          </w:rPr>
          <w:fldChar w:fldCharType="begin"/>
        </w:r>
        <w:r>
          <w:rPr>
            <w:webHidden/>
          </w:rPr>
          <w:instrText xml:space="preserve"> PAGEREF _Toc194558712 \h </w:instrText>
        </w:r>
        <w:r>
          <w:rPr>
            <w:webHidden/>
          </w:rPr>
        </w:r>
        <w:r>
          <w:rPr>
            <w:webHidden/>
          </w:rPr>
          <w:fldChar w:fldCharType="separate"/>
        </w:r>
        <w:r w:rsidR="00D268D2">
          <w:rPr>
            <w:webHidden/>
          </w:rPr>
          <w:t>22</w:t>
        </w:r>
        <w:r>
          <w:rPr>
            <w:webHidden/>
          </w:rPr>
          <w:fldChar w:fldCharType="end"/>
        </w:r>
      </w:hyperlink>
    </w:p>
    <w:p w14:paraId="74AAD579" w14:textId="11185AC0" w:rsidR="00BD7B89" w:rsidRDefault="00BD7B89">
      <w:pPr>
        <w:pStyle w:val="21"/>
        <w:tabs>
          <w:tab w:val="right" w:leader="dot" w:pos="9061"/>
        </w:tabs>
        <w:rPr>
          <w:rFonts w:ascii="Calibri" w:hAnsi="Calibri"/>
          <w:noProof/>
          <w:kern w:val="2"/>
        </w:rPr>
      </w:pPr>
      <w:hyperlink w:anchor="_Toc194558713" w:history="1">
        <w:r w:rsidRPr="00EB6147">
          <w:rPr>
            <w:rStyle w:val="a3"/>
            <w:noProof/>
          </w:rPr>
          <w:t>Inc. Russia, 02.04.2025, Минфин предложил налоговую льготу для работодателей, которые софинансируют ПДС сотрудников</w:t>
        </w:r>
        <w:r>
          <w:rPr>
            <w:noProof/>
            <w:webHidden/>
          </w:rPr>
          <w:tab/>
        </w:r>
        <w:r>
          <w:rPr>
            <w:noProof/>
            <w:webHidden/>
          </w:rPr>
          <w:fldChar w:fldCharType="begin"/>
        </w:r>
        <w:r>
          <w:rPr>
            <w:noProof/>
            <w:webHidden/>
          </w:rPr>
          <w:instrText xml:space="preserve"> PAGEREF _Toc194558713 \h </w:instrText>
        </w:r>
        <w:r>
          <w:rPr>
            <w:noProof/>
            <w:webHidden/>
          </w:rPr>
        </w:r>
        <w:r>
          <w:rPr>
            <w:noProof/>
            <w:webHidden/>
          </w:rPr>
          <w:fldChar w:fldCharType="separate"/>
        </w:r>
        <w:r w:rsidR="00D268D2">
          <w:rPr>
            <w:noProof/>
            <w:webHidden/>
          </w:rPr>
          <w:t>24</w:t>
        </w:r>
        <w:r>
          <w:rPr>
            <w:noProof/>
            <w:webHidden/>
          </w:rPr>
          <w:fldChar w:fldCharType="end"/>
        </w:r>
      </w:hyperlink>
    </w:p>
    <w:p w14:paraId="58CC828F" w14:textId="2F6D8D92" w:rsidR="00BD7B89" w:rsidRDefault="00BD7B89">
      <w:pPr>
        <w:pStyle w:val="31"/>
        <w:rPr>
          <w:rFonts w:ascii="Calibri" w:hAnsi="Calibri"/>
          <w:kern w:val="2"/>
        </w:rPr>
      </w:pPr>
      <w:hyperlink w:anchor="_Toc194558714" w:history="1">
        <w:r w:rsidRPr="00EB6147">
          <w:rPr>
            <w:rStyle w:val="a3"/>
          </w:rPr>
          <w:t>На рассмотрении в правительстве России находится законопроект, в соответствии с которым работодатели, участвующие в софинансировании программы долгосрочных сбережений (ПДС) своих работников, смогут учитывать эти затраты в расходы и уменьшить налоговую базу. Об этом рассказал замминистра финансов Иван Чебесков.</w:t>
        </w:r>
        <w:r>
          <w:rPr>
            <w:webHidden/>
          </w:rPr>
          <w:tab/>
        </w:r>
        <w:r>
          <w:rPr>
            <w:webHidden/>
          </w:rPr>
          <w:fldChar w:fldCharType="begin"/>
        </w:r>
        <w:r>
          <w:rPr>
            <w:webHidden/>
          </w:rPr>
          <w:instrText xml:space="preserve"> PAGEREF _Toc194558714 \h </w:instrText>
        </w:r>
        <w:r>
          <w:rPr>
            <w:webHidden/>
          </w:rPr>
        </w:r>
        <w:r>
          <w:rPr>
            <w:webHidden/>
          </w:rPr>
          <w:fldChar w:fldCharType="separate"/>
        </w:r>
        <w:r w:rsidR="00D268D2">
          <w:rPr>
            <w:webHidden/>
          </w:rPr>
          <w:t>24</w:t>
        </w:r>
        <w:r>
          <w:rPr>
            <w:webHidden/>
          </w:rPr>
          <w:fldChar w:fldCharType="end"/>
        </w:r>
      </w:hyperlink>
    </w:p>
    <w:p w14:paraId="38B98EAD" w14:textId="6B1E031B" w:rsidR="00BD7B89" w:rsidRDefault="00BD7B89">
      <w:pPr>
        <w:pStyle w:val="21"/>
        <w:tabs>
          <w:tab w:val="right" w:leader="dot" w:pos="9061"/>
        </w:tabs>
        <w:rPr>
          <w:rFonts w:ascii="Calibri" w:hAnsi="Calibri"/>
          <w:noProof/>
          <w:kern w:val="2"/>
        </w:rPr>
      </w:pPr>
      <w:hyperlink w:anchor="_Toc194558715" w:history="1">
        <w:r w:rsidRPr="00EB6147">
          <w:rPr>
            <w:rStyle w:val="a3"/>
            <w:noProof/>
          </w:rPr>
          <w:t>Журнал «КO», 02.04.2025, Минфин и ЦБ РФ обсуждают льготы для развития семейных сбережений</w:t>
        </w:r>
        <w:r>
          <w:rPr>
            <w:noProof/>
            <w:webHidden/>
          </w:rPr>
          <w:tab/>
        </w:r>
        <w:r>
          <w:rPr>
            <w:noProof/>
            <w:webHidden/>
          </w:rPr>
          <w:fldChar w:fldCharType="begin"/>
        </w:r>
        <w:r>
          <w:rPr>
            <w:noProof/>
            <w:webHidden/>
          </w:rPr>
          <w:instrText xml:space="preserve"> PAGEREF _Toc194558715 \h </w:instrText>
        </w:r>
        <w:r>
          <w:rPr>
            <w:noProof/>
            <w:webHidden/>
          </w:rPr>
        </w:r>
        <w:r>
          <w:rPr>
            <w:noProof/>
            <w:webHidden/>
          </w:rPr>
          <w:fldChar w:fldCharType="separate"/>
        </w:r>
        <w:r w:rsidR="00D268D2">
          <w:rPr>
            <w:noProof/>
            <w:webHidden/>
          </w:rPr>
          <w:t>25</w:t>
        </w:r>
        <w:r>
          <w:rPr>
            <w:noProof/>
            <w:webHidden/>
          </w:rPr>
          <w:fldChar w:fldCharType="end"/>
        </w:r>
      </w:hyperlink>
    </w:p>
    <w:p w14:paraId="41A35DD0" w14:textId="729DF795" w:rsidR="00BD7B89" w:rsidRDefault="00BD7B89">
      <w:pPr>
        <w:pStyle w:val="31"/>
        <w:rPr>
          <w:rFonts w:ascii="Calibri" w:hAnsi="Calibri"/>
          <w:kern w:val="2"/>
        </w:rPr>
      </w:pPr>
      <w:hyperlink w:anchor="_Toc194558716" w:history="1">
        <w:r w:rsidRPr="00EB6147">
          <w:rPr>
            <w:rStyle w:val="a3"/>
          </w:rPr>
          <w:t>Российские Минфин и Центробанк завершают проработку концепции развития семейных сбережений. Об этом заявил замминистра финансов Иван Чебесков на форуме «Стратегическая сессия финансового рынка».</w:t>
        </w:r>
        <w:r>
          <w:rPr>
            <w:webHidden/>
          </w:rPr>
          <w:tab/>
        </w:r>
        <w:r>
          <w:rPr>
            <w:webHidden/>
          </w:rPr>
          <w:fldChar w:fldCharType="begin"/>
        </w:r>
        <w:r>
          <w:rPr>
            <w:webHidden/>
          </w:rPr>
          <w:instrText xml:space="preserve"> PAGEREF _Toc194558716 \h </w:instrText>
        </w:r>
        <w:r>
          <w:rPr>
            <w:webHidden/>
          </w:rPr>
        </w:r>
        <w:r>
          <w:rPr>
            <w:webHidden/>
          </w:rPr>
          <w:fldChar w:fldCharType="separate"/>
        </w:r>
        <w:r w:rsidR="00D268D2">
          <w:rPr>
            <w:webHidden/>
          </w:rPr>
          <w:t>25</w:t>
        </w:r>
        <w:r>
          <w:rPr>
            <w:webHidden/>
          </w:rPr>
          <w:fldChar w:fldCharType="end"/>
        </w:r>
      </w:hyperlink>
    </w:p>
    <w:p w14:paraId="3352BBAC" w14:textId="1AA3CED2" w:rsidR="00BD7B89" w:rsidRDefault="00BD7B89">
      <w:pPr>
        <w:pStyle w:val="21"/>
        <w:tabs>
          <w:tab w:val="right" w:leader="dot" w:pos="9061"/>
        </w:tabs>
        <w:rPr>
          <w:rFonts w:ascii="Calibri" w:hAnsi="Calibri"/>
          <w:noProof/>
          <w:kern w:val="2"/>
        </w:rPr>
      </w:pPr>
      <w:hyperlink w:anchor="_Toc194558717" w:history="1">
        <w:r w:rsidRPr="00EB6147">
          <w:rPr>
            <w:rStyle w:val="a3"/>
            <w:noProof/>
          </w:rPr>
          <w:t>Национальная Информационная группа, 02.04.2025, Налоговый вычет для семейных сбережений увеличат до 1 млн рублей</w:t>
        </w:r>
        <w:r>
          <w:rPr>
            <w:noProof/>
            <w:webHidden/>
          </w:rPr>
          <w:tab/>
        </w:r>
        <w:r>
          <w:rPr>
            <w:noProof/>
            <w:webHidden/>
          </w:rPr>
          <w:fldChar w:fldCharType="begin"/>
        </w:r>
        <w:r>
          <w:rPr>
            <w:noProof/>
            <w:webHidden/>
          </w:rPr>
          <w:instrText xml:space="preserve"> PAGEREF _Toc194558717 \h </w:instrText>
        </w:r>
        <w:r>
          <w:rPr>
            <w:noProof/>
            <w:webHidden/>
          </w:rPr>
        </w:r>
        <w:r>
          <w:rPr>
            <w:noProof/>
            <w:webHidden/>
          </w:rPr>
          <w:fldChar w:fldCharType="separate"/>
        </w:r>
        <w:r w:rsidR="00D268D2">
          <w:rPr>
            <w:noProof/>
            <w:webHidden/>
          </w:rPr>
          <w:t>26</w:t>
        </w:r>
        <w:r>
          <w:rPr>
            <w:noProof/>
            <w:webHidden/>
          </w:rPr>
          <w:fldChar w:fldCharType="end"/>
        </w:r>
      </w:hyperlink>
    </w:p>
    <w:p w14:paraId="07F6776D" w14:textId="15056579" w:rsidR="00BD7B89" w:rsidRDefault="00BD7B89">
      <w:pPr>
        <w:pStyle w:val="31"/>
        <w:rPr>
          <w:rFonts w:ascii="Calibri" w:hAnsi="Calibri"/>
          <w:kern w:val="2"/>
        </w:rPr>
      </w:pPr>
      <w:hyperlink w:anchor="_Toc194558718" w:history="1">
        <w:r w:rsidRPr="00EB6147">
          <w:rPr>
            <w:rStyle w:val="a3"/>
          </w:rPr>
          <w:t>Министерство финансов и Центральный банк России активно занимаются разработкой мер, направленных на стимулирование семейных сбережений в стране.</w:t>
        </w:r>
        <w:r>
          <w:rPr>
            <w:webHidden/>
          </w:rPr>
          <w:tab/>
        </w:r>
        <w:r>
          <w:rPr>
            <w:webHidden/>
          </w:rPr>
          <w:fldChar w:fldCharType="begin"/>
        </w:r>
        <w:r>
          <w:rPr>
            <w:webHidden/>
          </w:rPr>
          <w:instrText xml:space="preserve"> PAGEREF _Toc194558718 \h </w:instrText>
        </w:r>
        <w:r>
          <w:rPr>
            <w:webHidden/>
          </w:rPr>
        </w:r>
        <w:r>
          <w:rPr>
            <w:webHidden/>
          </w:rPr>
          <w:fldChar w:fldCharType="separate"/>
        </w:r>
        <w:r w:rsidR="00D268D2">
          <w:rPr>
            <w:webHidden/>
          </w:rPr>
          <w:t>26</w:t>
        </w:r>
        <w:r>
          <w:rPr>
            <w:webHidden/>
          </w:rPr>
          <w:fldChar w:fldCharType="end"/>
        </w:r>
      </w:hyperlink>
    </w:p>
    <w:p w14:paraId="15503E15" w14:textId="60C4C19B" w:rsidR="00BD7B89" w:rsidRDefault="00BD7B89">
      <w:pPr>
        <w:pStyle w:val="21"/>
        <w:tabs>
          <w:tab w:val="right" w:leader="dot" w:pos="9061"/>
        </w:tabs>
        <w:rPr>
          <w:rFonts w:ascii="Calibri" w:hAnsi="Calibri"/>
          <w:noProof/>
          <w:kern w:val="2"/>
        </w:rPr>
      </w:pPr>
      <w:hyperlink w:anchor="_Toc194558719" w:history="1">
        <w:r w:rsidRPr="00EB6147">
          <w:rPr>
            <w:rStyle w:val="a3"/>
            <w:noProof/>
          </w:rPr>
          <w:t>Газета.ru, 02.04.2025, Сбер оценил эффект от налоговых льгот в программе долгосрочных сбережений</w:t>
        </w:r>
        <w:r>
          <w:rPr>
            <w:noProof/>
            <w:webHidden/>
          </w:rPr>
          <w:tab/>
        </w:r>
        <w:r>
          <w:rPr>
            <w:noProof/>
            <w:webHidden/>
          </w:rPr>
          <w:fldChar w:fldCharType="begin"/>
        </w:r>
        <w:r>
          <w:rPr>
            <w:noProof/>
            <w:webHidden/>
          </w:rPr>
          <w:instrText xml:space="preserve"> PAGEREF _Toc194558719 \h </w:instrText>
        </w:r>
        <w:r>
          <w:rPr>
            <w:noProof/>
            <w:webHidden/>
          </w:rPr>
        </w:r>
        <w:r>
          <w:rPr>
            <w:noProof/>
            <w:webHidden/>
          </w:rPr>
          <w:fldChar w:fldCharType="separate"/>
        </w:r>
        <w:r w:rsidR="00D268D2">
          <w:rPr>
            <w:noProof/>
            <w:webHidden/>
          </w:rPr>
          <w:t>26</w:t>
        </w:r>
        <w:r>
          <w:rPr>
            <w:noProof/>
            <w:webHidden/>
          </w:rPr>
          <w:fldChar w:fldCharType="end"/>
        </w:r>
      </w:hyperlink>
    </w:p>
    <w:p w14:paraId="426A68EC" w14:textId="11F28461" w:rsidR="00BD7B89" w:rsidRDefault="00BD7B89">
      <w:pPr>
        <w:pStyle w:val="31"/>
        <w:rPr>
          <w:rFonts w:ascii="Calibri" w:hAnsi="Calibri"/>
          <w:kern w:val="2"/>
        </w:rPr>
      </w:pPr>
      <w:hyperlink w:anchor="_Toc194558720" w:history="1">
        <w:r w:rsidRPr="00EB6147">
          <w:rPr>
            <w:rStyle w:val="a3"/>
          </w:rPr>
          <w:t>Разработанный Минфином законопроект, который предусматривает налоговые льготы для компаний, участвующих в софинансировании взносов сотрудников в программу долгосрочных сбережений (ПДС), способен дополнительно привлечь в программу до 65 млрд рублей. Об этом рассказал старший вице-президент Сбербанка Руслан Вестеровский.</w:t>
        </w:r>
        <w:r>
          <w:rPr>
            <w:webHidden/>
          </w:rPr>
          <w:tab/>
        </w:r>
        <w:r>
          <w:rPr>
            <w:webHidden/>
          </w:rPr>
          <w:fldChar w:fldCharType="begin"/>
        </w:r>
        <w:r>
          <w:rPr>
            <w:webHidden/>
          </w:rPr>
          <w:instrText xml:space="preserve"> PAGEREF _Toc194558720 \h </w:instrText>
        </w:r>
        <w:r>
          <w:rPr>
            <w:webHidden/>
          </w:rPr>
        </w:r>
        <w:r>
          <w:rPr>
            <w:webHidden/>
          </w:rPr>
          <w:fldChar w:fldCharType="separate"/>
        </w:r>
        <w:r w:rsidR="00D268D2">
          <w:rPr>
            <w:webHidden/>
          </w:rPr>
          <w:t>26</w:t>
        </w:r>
        <w:r>
          <w:rPr>
            <w:webHidden/>
          </w:rPr>
          <w:fldChar w:fldCharType="end"/>
        </w:r>
      </w:hyperlink>
    </w:p>
    <w:p w14:paraId="0747EF8B" w14:textId="1FE3965C" w:rsidR="00BD7B89" w:rsidRDefault="00BD7B89">
      <w:pPr>
        <w:pStyle w:val="21"/>
        <w:tabs>
          <w:tab w:val="right" w:leader="dot" w:pos="9061"/>
        </w:tabs>
        <w:rPr>
          <w:rFonts w:ascii="Calibri" w:hAnsi="Calibri"/>
          <w:noProof/>
          <w:kern w:val="2"/>
        </w:rPr>
      </w:pPr>
      <w:hyperlink w:anchor="_Toc194558721" w:history="1">
        <w:r w:rsidRPr="00EB6147">
          <w:rPr>
            <w:rStyle w:val="a3"/>
            <w:noProof/>
          </w:rPr>
          <w:t>Лента.ру, 02.04.2025, В Сбере оценили инициативу Минфина о налоговых льготах по ПДС для работодателей</w:t>
        </w:r>
        <w:r>
          <w:rPr>
            <w:noProof/>
            <w:webHidden/>
          </w:rPr>
          <w:tab/>
        </w:r>
        <w:r>
          <w:rPr>
            <w:noProof/>
            <w:webHidden/>
          </w:rPr>
          <w:fldChar w:fldCharType="begin"/>
        </w:r>
        <w:r>
          <w:rPr>
            <w:noProof/>
            <w:webHidden/>
          </w:rPr>
          <w:instrText xml:space="preserve"> PAGEREF _Toc194558721 \h </w:instrText>
        </w:r>
        <w:r>
          <w:rPr>
            <w:noProof/>
            <w:webHidden/>
          </w:rPr>
        </w:r>
        <w:r>
          <w:rPr>
            <w:noProof/>
            <w:webHidden/>
          </w:rPr>
          <w:fldChar w:fldCharType="separate"/>
        </w:r>
        <w:r w:rsidR="00D268D2">
          <w:rPr>
            <w:noProof/>
            <w:webHidden/>
          </w:rPr>
          <w:t>27</w:t>
        </w:r>
        <w:r>
          <w:rPr>
            <w:noProof/>
            <w:webHidden/>
          </w:rPr>
          <w:fldChar w:fldCharType="end"/>
        </w:r>
      </w:hyperlink>
    </w:p>
    <w:p w14:paraId="6DBD57BF" w14:textId="5CECCC7B" w:rsidR="00BD7B89" w:rsidRDefault="00BD7B89">
      <w:pPr>
        <w:pStyle w:val="31"/>
        <w:rPr>
          <w:rFonts w:ascii="Calibri" w:hAnsi="Calibri"/>
          <w:kern w:val="2"/>
        </w:rPr>
      </w:pPr>
      <w:hyperlink w:anchor="_Toc194558722" w:history="1">
        <w:r w:rsidRPr="00EB6147">
          <w:rPr>
            <w:rStyle w:val="a3"/>
          </w:rPr>
          <w:t>Распространение налоговых льгот за участие в ПДС на работодателей и сотрудников может дополнительно привлечь в программу до 65 миллиардов рублей, отметил вице-президент Сбербанка Руслан Вестеровский, комментируя законодательную инициативу Минфина о введении налоговых льгот для компаний, участвующих в софинансировании взносов своих сотрудников в программу долгосрочных сбережений.</w:t>
        </w:r>
        <w:r>
          <w:rPr>
            <w:webHidden/>
          </w:rPr>
          <w:tab/>
        </w:r>
        <w:r>
          <w:rPr>
            <w:webHidden/>
          </w:rPr>
          <w:fldChar w:fldCharType="begin"/>
        </w:r>
        <w:r>
          <w:rPr>
            <w:webHidden/>
          </w:rPr>
          <w:instrText xml:space="preserve"> PAGEREF _Toc194558722 \h </w:instrText>
        </w:r>
        <w:r>
          <w:rPr>
            <w:webHidden/>
          </w:rPr>
        </w:r>
        <w:r>
          <w:rPr>
            <w:webHidden/>
          </w:rPr>
          <w:fldChar w:fldCharType="separate"/>
        </w:r>
        <w:r w:rsidR="00D268D2">
          <w:rPr>
            <w:webHidden/>
          </w:rPr>
          <w:t>27</w:t>
        </w:r>
        <w:r>
          <w:rPr>
            <w:webHidden/>
          </w:rPr>
          <w:fldChar w:fldCharType="end"/>
        </w:r>
      </w:hyperlink>
    </w:p>
    <w:p w14:paraId="13DC39B1" w14:textId="1AFA8936" w:rsidR="00BD7B89" w:rsidRDefault="00BD7B89">
      <w:pPr>
        <w:pStyle w:val="21"/>
        <w:tabs>
          <w:tab w:val="right" w:leader="dot" w:pos="9061"/>
        </w:tabs>
        <w:rPr>
          <w:rFonts w:ascii="Calibri" w:hAnsi="Calibri"/>
          <w:noProof/>
          <w:kern w:val="2"/>
        </w:rPr>
      </w:pPr>
      <w:hyperlink w:anchor="_Toc194558723" w:history="1">
        <w:r w:rsidRPr="00EB6147">
          <w:rPr>
            <w:rStyle w:val="a3"/>
            <w:noProof/>
          </w:rPr>
          <w:t>Современные страховые технологии, 02.04.2025, Комментарий Р. Вестеровского по инициативе Минфина о введении налоговых льгот для компаний</w:t>
        </w:r>
        <w:r>
          <w:rPr>
            <w:noProof/>
            <w:webHidden/>
          </w:rPr>
          <w:tab/>
        </w:r>
        <w:r>
          <w:rPr>
            <w:noProof/>
            <w:webHidden/>
          </w:rPr>
          <w:fldChar w:fldCharType="begin"/>
        </w:r>
        <w:r>
          <w:rPr>
            <w:noProof/>
            <w:webHidden/>
          </w:rPr>
          <w:instrText xml:space="preserve"> PAGEREF _Toc194558723 \h </w:instrText>
        </w:r>
        <w:r>
          <w:rPr>
            <w:noProof/>
            <w:webHidden/>
          </w:rPr>
        </w:r>
        <w:r>
          <w:rPr>
            <w:noProof/>
            <w:webHidden/>
          </w:rPr>
          <w:fldChar w:fldCharType="separate"/>
        </w:r>
        <w:r w:rsidR="00D268D2">
          <w:rPr>
            <w:noProof/>
            <w:webHidden/>
          </w:rPr>
          <w:t>28</w:t>
        </w:r>
        <w:r>
          <w:rPr>
            <w:noProof/>
            <w:webHidden/>
          </w:rPr>
          <w:fldChar w:fldCharType="end"/>
        </w:r>
      </w:hyperlink>
    </w:p>
    <w:p w14:paraId="029E0629" w14:textId="6591EF44" w:rsidR="00BD7B89" w:rsidRDefault="00BD7B89">
      <w:pPr>
        <w:pStyle w:val="31"/>
        <w:rPr>
          <w:rFonts w:ascii="Calibri" w:hAnsi="Calibri"/>
          <w:kern w:val="2"/>
        </w:rPr>
      </w:pPr>
      <w:hyperlink w:anchor="_Toc194558724" w:history="1">
        <w:r w:rsidRPr="00EB6147">
          <w:rPr>
            <w:rStyle w:val="a3"/>
          </w:rPr>
          <w:t>Комментарий Руслана Вестеровского, посвященный инициативе Минфина о введении налоговых льгот для компаний, участвующих в софинансировании взносов сотрудников в ПДС. Эту инициативу сегодня анонсировал замминистра финансов Иван Чебесков.</w:t>
        </w:r>
        <w:r>
          <w:rPr>
            <w:webHidden/>
          </w:rPr>
          <w:tab/>
        </w:r>
        <w:r>
          <w:rPr>
            <w:webHidden/>
          </w:rPr>
          <w:fldChar w:fldCharType="begin"/>
        </w:r>
        <w:r>
          <w:rPr>
            <w:webHidden/>
          </w:rPr>
          <w:instrText xml:space="preserve"> PAGEREF _Toc194558724 \h </w:instrText>
        </w:r>
        <w:r>
          <w:rPr>
            <w:webHidden/>
          </w:rPr>
        </w:r>
        <w:r>
          <w:rPr>
            <w:webHidden/>
          </w:rPr>
          <w:fldChar w:fldCharType="separate"/>
        </w:r>
        <w:r w:rsidR="00D268D2">
          <w:rPr>
            <w:webHidden/>
          </w:rPr>
          <w:t>28</w:t>
        </w:r>
        <w:r>
          <w:rPr>
            <w:webHidden/>
          </w:rPr>
          <w:fldChar w:fldCharType="end"/>
        </w:r>
      </w:hyperlink>
    </w:p>
    <w:p w14:paraId="035EF19F" w14:textId="3053BD82" w:rsidR="00BD7B89" w:rsidRDefault="00BD7B89">
      <w:pPr>
        <w:pStyle w:val="21"/>
        <w:tabs>
          <w:tab w:val="right" w:leader="dot" w:pos="9061"/>
        </w:tabs>
        <w:rPr>
          <w:rFonts w:ascii="Calibri" w:hAnsi="Calibri"/>
          <w:noProof/>
          <w:kern w:val="2"/>
        </w:rPr>
      </w:pPr>
      <w:hyperlink w:anchor="_Toc194558725" w:history="1">
        <w:r w:rsidRPr="00EB6147">
          <w:rPr>
            <w:rStyle w:val="a3"/>
            <w:noProof/>
          </w:rPr>
          <w:t>Пенсия.pro, 02.04.2025, Сколько заработали крупнейшие НПФ с программой долгосрочных сбережений: рейтинг</w:t>
        </w:r>
        <w:r>
          <w:rPr>
            <w:noProof/>
            <w:webHidden/>
          </w:rPr>
          <w:tab/>
        </w:r>
        <w:r>
          <w:rPr>
            <w:noProof/>
            <w:webHidden/>
          </w:rPr>
          <w:fldChar w:fldCharType="begin"/>
        </w:r>
        <w:r>
          <w:rPr>
            <w:noProof/>
            <w:webHidden/>
          </w:rPr>
          <w:instrText xml:space="preserve"> PAGEREF _Toc194558725 \h </w:instrText>
        </w:r>
        <w:r>
          <w:rPr>
            <w:noProof/>
            <w:webHidden/>
          </w:rPr>
        </w:r>
        <w:r>
          <w:rPr>
            <w:noProof/>
            <w:webHidden/>
          </w:rPr>
          <w:fldChar w:fldCharType="separate"/>
        </w:r>
        <w:r w:rsidR="00D268D2">
          <w:rPr>
            <w:noProof/>
            <w:webHidden/>
          </w:rPr>
          <w:t>28</w:t>
        </w:r>
        <w:r>
          <w:rPr>
            <w:noProof/>
            <w:webHidden/>
          </w:rPr>
          <w:fldChar w:fldCharType="end"/>
        </w:r>
      </w:hyperlink>
    </w:p>
    <w:p w14:paraId="6C680002" w14:textId="0833752E" w:rsidR="00BD7B89" w:rsidRDefault="00BD7B89">
      <w:pPr>
        <w:pStyle w:val="31"/>
        <w:rPr>
          <w:rFonts w:ascii="Calibri" w:hAnsi="Calibri"/>
          <w:kern w:val="2"/>
        </w:rPr>
      </w:pPr>
      <w:hyperlink w:anchor="_Toc194558726" w:history="1">
        <w:r w:rsidRPr="00EB6147">
          <w:rPr>
            <w:rStyle w:val="a3"/>
          </w:rPr>
          <w:t>Доходность по программе долгосрочных сбережений за первый год составила в среднем около 20 % годовых. Центральный Банк России еще не опубликовал информацию, клиенты каких негосударственных фондов получили максимальную выгоду. «Пенсия.pro» изучила работу десяти самых крупных НПФ1 и составила свой рейтинг. В основе — данные, раскрытые фондами.</w:t>
        </w:r>
        <w:r>
          <w:rPr>
            <w:webHidden/>
          </w:rPr>
          <w:tab/>
        </w:r>
        <w:r>
          <w:rPr>
            <w:webHidden/>
          </w:rPr>
          <w:fldChar w:fldCharType="begin"/>
        </w:r>
        <w:r>
          <w:rPr>
            <w:webHidden/>
          </w:rPr>
          <w:instrText xml:space="preserve"> PAGEREF _Toc194558726 \h </w:instrText>
        </w:r>
        <w:r>
          <w:rPr>
            <w:webHidden/>
          </w:rPr>
        </w:r>
        <w:r>
          <w:rPr>
            <w:webHidden/>
          </w:rPr>
          <w:fldChar w:fldCharType="separate"/>
        </w:r>
        <w:r w:rsidR="00D268D2">
          <w:rPr>
            <w:webHidden/>
          </w:rPr>
          <w:t>28</w:t>
        </w:r>
        <w:r>
          <w:rPr>
            <w:webHidden/>
          </w:rPr>
          <w:fldChar w:fldCharType="end"/>
        </w:r>
      </w:hyperlink>
    </w:p>
    <w:p w14:paraId="6CD533BE" w14:textId="14BD7EC4" w:rsidR="00BD7B89" w:rsidRDefault="00BD7B89">
      <w:pPr>
        <w:pStyle w:val="21"/>
        <w:tabs>
          <w:tab w:val="right" w:leader="dot" w:pos="9061"/>
        </w:tabs>
        <w:rPr>
          <w:rFonts w:ascii="Calibri" w:hAnsi="Calibri"/>
          <w:noProof/>
          <w:kern w:val="2"/>
        </w:rPr>
      </w:pPr>
      <w:hyperlink w:anchor="_Toc194558727" w:history="1">
        <w:r w:rsidRPr="00EB6147">
          <w:rPr>
            <w:rStyle w:val="a3"/>
            <w:noProof/>
          </w:rPr>
          <w:t>News-Life, 02.04.2025, Эксперт Президентской академии в Санкт-Петербурге о программе долгосрочных сбережений</w:t>
        </w:r>
        <w:r>
          <w:rPr>
            <w:noProof/>
            <w:webHidden/>
          </w:rPr>
          <w:tab/>
        </w:r>
        <w:r>
          <w:rPr>
            <w:noProof/>
            <w:webHidden/>
          </w:rPr>
          <w:fldChar w:fldCharType="begin"/>
        </w:r>
        <w:r>
          <w:rPr>
            <w:noProof/>
            <w:webHidden/>
          </w:rPr>
          <w:instrText xml:space="preserve"> PAGEREF _Toc194558727 \h </w:instrText>
        </w:r>
        <w:r>
          <w:rPr>
            <w:noProof/>
            <w:webHidden/>
          </w:rPr>
        </w:r>
        <w:r>
          <w:rPr>
            <w:noProof/>
            <w:webHidden/>
          </w:rPr>
          <w:fldChar w:fldCharType="separate"/>
        </w:r>
        <w:r w:rsidR="00D268D2">
          <w:rPr>
            <w:noProof/>
            <w:webHidden/>
          </w:rPr>
          <w:t>31</w:t>
        </w:r>
        <w:r>
          <w:rPr>
            <w:noProof/>
            <w:webHidden/>
          </w:rPr>
          <w:fldChar w:fldCharType="end"/>
        </w:r>
      </w:hyperlink>
    </w:p>
    <w:p w14:paraId="4A2EE7A6" w14:textId="6887A147" w:rsidR="00BD7B89" w:rsidRDefault="00BD7B89">
      <w:pPr>
        <w:pStyle w:val="31"/>
        <w:rPr>
          <w:rFonts w:ascii="Calibri" w:hAnsi="Calibri"/>
          <w:kern w:val="2"/>
        </w:rPr>
      </w:pPr>
      <w:hyperlink w:anchor="_Toc194558728" w:history="1">
        <w:r w:rsidRPr="00EB6147">
          <w:rPr>
            <w:rStyle w:val="a3"/>
          </w:rPr>
          <w:t>Налоговые льготы для работодателей, сотрудники которых подключились к программе долгосрочных сбережений (ПДС), как планируется, начнут действовать в 2025 году. Об этом заявил директор департамента финансовой политики Минфина РФ Алексей Яковлев.</w:t>
        </w:r>
        <w:r>
          <w:rPr>
            <w:webHidden/>
          </w:rPr>
          <w:tab/>
        </w:r>
        <w:r>
          <w:rPr>
            <w:webHidden/>
          </w:rPr>
          <w:fldChar w:fldCharType="begin"/>
        </w:r>
        <w:r>
          <w:rPr>
            <w:webHidden/>
          </w:rPr>
          <w:instrText xml:space="preserve"> PAGEREF _Toc194558728 \h </w:instrText>
        </w:r>
        <w:r>
          <w:rPr>
            <w:webHidden/>
          </w:rPr>
        </w:r>
        <w:r>
          <w:rPr>
            <w:webHidden/>
          </w:rPr>
          <w:fldChar w:fldCharType="separate"/>
        </w:r>
        <w:r w:rsidR="00D268D2">
          <w:rPr>
            <w:webHidden/>
          </w:rPr>
          <w:t>31</w:t>
        </w:r>
        <w:r>
          <w:rPr>
            <w:webHidden/>
          </w:rPr>
          <w:fldChar w:fldCharType="end"/>
        </w:r>
      </w:hyperlink>
    </w:p>
    <w:p w14:paraId="0479AD3D" w14:textId="4644C01B" w:rsidR="00BD7B89" w:rsidRDefault="00BD7B89">
      <w:pPr>
        <w:pStyle w:val="21"/>
        <w:tabs>
          <w:tab w:val="right" w:leader="dot" w:pos="9061"/>
        </w:tabs>
        <w:rPr>
          <w:rFonts w:ascii="Calibri" w:hAnsi="Calibri"/>
          <w:noProof/>
          <w:kern w:val="2"/>
        </w:rPr>
      </w:pPr>
      <w:hyperlink w:anchor="_Toc194558729" w:history="1">
        <w:r w:rsidRPr="00EB6147">
          <w:rPr>
            <w:rStyle w:val="a3"/>
            <w:noProof/>
          </w:rPr>
          <w:t>munbog.gosuslugi.ru, 02.04.2025, Программа долгосрочных сбережений</w:t>
        </w:r>
        <w:r>
          <w:rPr>
            <w:noProof/>
            <w:webHidden/>
          </w:rPr>
          <w:tab/>
        </w:r>
        <w:r>
          <w:rPr>
            <w:noProof/>
            <w:webHidden/>
          </w:rPr>
          <w:fldChar w:fldCharType="begin"/>
        </w:r>
        <w:r>
          <w:rPr>
            <w:noProof/>
            <w:webHidden/>
          </w:rPr>
          <w:instrText xml:space="preserve"> PAGEREF _Toc194558729 \h </w:instrText>
        </w:r>
        <w:r>
          <w:rPr>
            <w:noProof/>
            <w:webHidden/>
          </w:rPr>
        </w:r>
        <w:r>
          <w:rPr>
            <w:noProof/>
            <w:webHidden/>
          </w:rPr>
          <w:fldChar w:fldCharType="separate"/>
        </w:r>
        <w:r w:rsidR="00D268D2">
          <w:rPr>
            <w:noProof/>
            <w:webHidden/>
          </w:rPr>
          <w:t>32</w:t>
        </w:r>
        <w:r>
          <w:rPr>
            <w:noProof/>
            <w:webHidden/>
          </w:rPr>
          <w:fldChar w:fldCharType="end"/>
        </w:r>
      </w:hyperlink>
    </w:p>
    <w:p w14:paraId="4AF7C025" w14:textId="1E977346" w:rsidR="00BD7B89" w:rsidRDefault="00BD7B89">
      <w:pPr>
        <w:pStyle w:val="31"/>
        <w:rPr>
          <w:rFonts w:ascii="Calibri" w:hAnsi="Calibri"/>
          <w:kern w:val="2"/>
        </w:rPr>
      </w:pPr>
      <w:hyperlink w:anchor="_Toc194558730" w:history="1">
        <w:r w:rsidRPr="00EB6147">
          <w:rPr>
            <w:rStyle w:val="a3"/>
          </w:rPr>
          <w:t>В Кировской области за 2024 год жители заключили свыше 31 тысячи договоров по программе долгосрочных сбережений (ПДС). Сумма взносов по программе за год составила более 870 млн рублей.</w:t>
        </w:r>
        <w:r>
          <w:rPr>
            <w:webHidden/>
          </w:rPr>
          <w:tab/>
        </w:r>
        <w:r>
          <w:rPr>
            <w:webHidden/>
          </w:rPr>
          <w:fldChar w:fldCharType="begin"/>
        </w:r>
        <w:r>
          <w:rPr>
            <w:webHidden/>
          </w:rPr>
          <w:instrText xml:space="preserve"> PAGEREF _Toc194558730 \h </w:instrText>
        </w:r>
        <w:r>
          <w:rPr>
            <w:webHidden/>
          </w:rPr>
        </w:r>
        <w:r>
          <w:rPr>
            <w:webHidden/>
          </w:rPr>
          <w:fldChar w:fldCharType="separate"/>
        </w:r>
        <w:r w:rsidR="00D268D2">
          <w:rPr>
            <w:webHidden/>
          </w:rPr>
          <w:t>32</w:t>
        </w:r>
        <w:r>
          <w:rPr>
            <w:webHidden/>
          </w:rPr>
          <w:fldChar w:fldCharType="end"/>
        </w:r>
      </w:hyperlink>
    </w:p>
    <w:p w14:paraId="1D93341E" w14:textId="088EAE4C" w:rsidR="00BD7B89" w:rsidRDefault="00BD7B89">
      <w:pPr>
        <w:pStyle w:val="21"/>
        <w:tabs>
          <w:tab w:val="right" w:leader="dot" w:pos="9061"/>
        </w:tabs>
        <w:rPr>
          <w:rFonts w:ascii="Calibri" w:hAnsi="Calibri"/>
          <w:noProof/>
          <w:kern w:val="2"/>
        </w:rPr>
      </w:pPr>
      <w:hyperlink w:anchor="_Toc194558731" w:history="1">
        <w:r w:rsidRPr="00EB6147">
          <w:rPr>
            <w:rStyle w:val="a3"/>
            <w:noProof/>
          </w:rPr>
          <w:t xml:space="preserve">Globalmsk.ru, 03.04.2025, </w:t>
        </w:r>
        <w:r w:rsidRPr="00EB6147">
          <w:rPr>
            <w:rStyle w:val="a3"/>
            <w:rFonts w:eastAsia="Verdana"/>
            <w:noProof/>
          </w:rPr>
          <w:t>Силуанов призвал вместо повышения зарплат подключать работников к системе ПДС</w:t>
        </w:r>
        <w:r>
          <w:rPr>
            <w:noProof/>
            <w:webHidden/>
          </w:rPr>
          <w:tab/>
        </w:r>
        <w:r>
          <w:rPr>
            <w:noProof/>
            <w:webHidden/>
          </w:rPr>
          <w:fldChar w:fldCharType="begin"/>
        </w:r>
        <w:r>
          <w:rPr>
            <w:noProof/>
            <w:webHidden/>
          </w:rPr>
          <w:instrText xml:space="preserve"> PAGEREF _Toc194558731 \h </w:instrText>
        </w:r>
        <w:r>
          <w:rPr>
            <w:noProof/>
            <w:webHidden/>
          </w:rPr>
        </w:r>
        <w:r>
          <w:rPr>
            <w:noProof/>
            <w:webHidden/>
          </w:rPr>
          <w:fldChar w:fldCharType="separate"/>
        </w:r>
        <w:r w:rsidR="00D268D2">
          <w:rPr>
            <w:noProof/>
            <w:webHidden/>
          </w:rPr>
          <w:t>33</w:t>
        </w:r>
        <w:r>
          <w:rPr>
            <w:noProof/>
            <w:webHidden/>
          </w:rPr>
          <w:fldChar w:fldCharType="end"/>
        </w:r>
      </w:hyperlink>
    </w:p>
    <w:p w14:paraId="33433339" w14:textId="67DC4978" w:rsidR="00BD7B89" w:rsidRDefault="00BD7B89">
      <w:pPr>
        <w:pStyle w:val="31"/>
        <w:rPr>
          <w:rFonts w:ascii="Calibri" w:hAnsi="Calibri"/>
          <w:kern w:val="2"/>
        </w:rPr>
      </w:pPr>
      <w:hyperlink w:anchor="_Toc194558732" w:history="1">
        <w:r w:rsidRPr="00EB6147">
          <w:rPr>
            <w:rStyle w:val="a3"/>
          </w:rPr>
          <w:t xml:space="preserve">В России работодатели вместо повышения зарплат могут начать подключать к работников в системе </w:t>
        </w:r>
        <w:r w:rsidRPr="00EB6147">
          <w:rPr>
            <w:rStyle w:val="a3"/>
            <w:b/>
          </w:rPr>
          <w:t>ПДС</w:t>
        </w:r>
        <w:r w:rsidRPr="00EB6147">
          <w:rPr>
            <w:rStyle w:val="a3"/>
          </w:rPr>
          <w:t>. Антон Силуанов, возглавляющий Минфин, рассказал об этом на съезде РСПП.</w:t>
        </w:r>
        <w:r>
          <w:rPr>
            <w:webHidden/>
          </w:rPr>
          <w:tab/>
        </w:r>
        <w:r>
          <w:rPr>
            <w:webHidden/>
          </w:rPr>
          <w:fldChar w:fldCharType="begin"/>
        </w:r>
        <w:r>
          <w:rPr>
            <w:webHidden/>
          </w:rPr>
          <w:instrText xml:space="preserve"> PAGEREF _Toc194558732 \h </w:instrText>
        </w:r>
        <w:r>
          <w:rPr>
            <w:webHidden/>
          </w:rPr>
        </w:r>
        <w:r>
          <w:rPr>
            <w:webHidden/>
          </w:rPr>
          <w:fldChar w:fldCharType="separate"/>
        </w:r>
        <w:r w:rsidR="00D268D2">
          <w:rPr>
            <w:webHidden/>
          </w:rPr>
          <w:t>33</w:t>
        </w:r>
        <w:r>
          <w:rPr>
            <w:webHidden/>
          </w:rPr>
          <w:fldChar w:fldCharType="end"/>
        </w:r>
      </w:hyperlink>
    </w:p>
    <w:p w14:paraId="3410E0C2" w14:textId="33B6E1B7" w:rsidR="00BD7B89" w:rsidRDefault="00BD7B89">
      <w:pPr>
        <w:pStyle w:val="21"/>
        <w:tabs>
          <w:tab w:val="right" w:leader="dot" w:pos="9061"/>
        </w:tabs>
        <w:rPr>
          <w:rFonts w:ascii="Calibri" w:hAnsi="Calibri"/>
          <w:noProof/>
          <w:kern w:val="2"/>
        </w:rPr>
      </w:pPr>
      <w:hyperlink w:anchor="_Toc194558733" w:history="1">
        <w:r w:rsidRPr="00EB6147">
          <w:rPr>
            <w:rStyle w:val="a3"/>
            <w:noProof/>
          </w:rPr>
          <w:t xml:space="preserve">РБА Новости, 02.04.2025, </w:t>
        </w:r>
        <w:r w:rsidRPr="00EB6147">
          <w:rPr>
            <w:rStyle w:val="a3"/>
            <w:rFonts w:eastAsia="Verdana"/>
            <w:noProof/>
          </w:rPr>
          <w:t>Комментарий Р. Вестеровского по инициативе Минфина о введении налоговых льгот для компаний</w:t>
        </w:r>
        <w:r>
          <w:rPr>
            <w:noProof/>
            <w:webHidden/>
          </w:rPr>
          <w:tab/>
        </w:r>
        <w:r>
          <w:rPr>
            <w:noProof/>
            <w:webHidden/>
          </w:rPr>
          <w:fldChar w:fldCharType="begin"/>
        </w:r>
        <w:r>
          <w:rPr>
            <w:noProof/>
            <w:webHidden/>
          </w:rPr>
          <w:instrText xml:space="preserve"> PAGEREF _Toc194558733 \h </w:instrText>
        </w:r>
        <w:r>
          <w:rPr>
            <w:noProof/>
            <w:webHidden/>
          </w:rPr>
        </w:r>
        <w:r>
          <w:rPr>
            <w:noProof/>
            <w:webHidden/>
          </w:rPr>
          <w:fldChar w:fldCharType="separate"/>
        </w:r>
        <w:r w:rsidR="00D268D2">
          <w:rPr>
            <w:noProof/>
            <w:webHidden/>
          </w:rPr>
          <w:t>33</w:t>
        </w:r>
        <w:r>
          <w:rPr>
            <w:noProof/>
            <w:webHidden/>
          </w:rPr>
          <w:fldChar w:fldCharType="end"/>
        </w:r>
      </w:hyperlink>
    </w:p>
    <w:p w14:paraId="068B3E28" w14:textId="6C9F22D4" w:rsidR="00BD7B89" w:rsidRDefault="00BD7B89">
      <w:pPr>
        <w:pStyle w:val="31"/>
        <w:rPr>
          <w:rFonts w:ascii="Calibri" w:hAnsi="Calibri"/>
          <w:kern w:val="2"/>
        </w:rPr>
      </w:pPr>
      <w:hyperlink w:anchor="_Toc194558734" w:history="1">
        <w:r w:rsidRPr="00EB6147">
          <w:rPr>
            <w:rStyle w:val="a3"/>
          </w:rPr>
          <w:t>Старший вице-президент, руководитель блока «Управление благосостоянием» Сбербанка Руслан Вестеровский: «Мы, безусловно, поддерживаем эту инициативу Минфина. Новые меры создадут дополнительные стимулы для работодателей участвовать в софинансировании взносов сотрудников в программу долгосрочных сбережений (</w:t>
        </w:r>
        <w:r w:rsidRPr="00EB6147">
          <w:rPr>
            <w:rStyle w:val="a3"/>
            <w:b/>
          </w:rPr>
          <w:t>ПДС</w:t>
        </w:r>
        <w:r w:rsidRPr="00EB6147">
          <w:rPr>
            <w:rStyle w:val="a3"/>
          </w:rPr>
          <w:t xml:space="preserve">). Особенно это актуально в условиях кадрового дефицита, ведь </w:t>
        </w:r>
        <w:r w:rsidRPr="00EB6147">
          <w:rPr>
            <w:rStyle w:val="a3"/>
            <w:b/>
          </w:rPr>
          <w:t>ПДС</w:t>
        </w:r>
        <w:r w:rsidRPr="00EB6147">
          <w:rPr>
            <w:rStyle w:val="a3"/>
          </w:rPr>
          <w:t xml:space="preserve"> станет дополнительным инструментом мотивации и удержания сотрудников.</w:t>
        </w:r>
        <w:r>
          <w:rPr>
            <w:webHidden/>
          </w:rPr>
          <w:tab/>
        </w:r>
        <w:r>
          <w:rPr>
            <w:webHidden/>
          </w:rPr>
          <w:fldChar w:fldCharType="begin"/>
        </w:r>
        <w:r>
          <w:rPr>
            <w:webHidden/>
          </w:rPr>
          <w:instrText xml:space="preserve"> PAGEREF _Toc194558734 \h </w:instrText>
        </w:r>
        <w:r>
          <w:rPr>
            <w:webHidden/>
          </w:rPr>
        </w:r>
        <w:r>
          <w:rPr>
            <w:webHidden/>
          </w:rPr>
          <w:fldChar w:fldCharType="separate"/>
        </w:r>
        <w:r w:rsidR="00D268D2">
          <w:rPr>
            <w:webHidden/>
          </w:rPr>
          <w:t>33</w:t>
        </w:r>
        <w:r>
          <w:rPr>
            <w:webHidden/>
          </w:rPr>
          <w:fldChar w:fldCharType="end"/>
        </w:r>
      </w:hyperlink>
    </w:p>
    <w:p w14:paraId="26DC498B" w14:textId="3DD43071" w:rsidR="00BD7B89" w:rsidRDefault="00BD7B89">
      <w:pPr>
        <w:pStyle w:val="12"/>
        <w:tabs>
          <w:tab w:val="right" w:leader="dot" w:pos="9061"/>
        </w:tabs>
        <w:rPr>
          <w:rFonts w:ascii="Calibri" w:hAnsi="Calibri"/>
          <w:b w:val="0"/>
          <w:noProof/>
          <w:kern w:val="2"/>
          <w:sz w:val="24"/>
        </w:rPr>
      </w:pPr>
      <w:hyperlink w:anchor="_Toc194558735" w:history="1">
        <w:r w:rsidRPr="00EB6147">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_Toc194558735 \h </w:instrText>
        </w:r>
        <w:r>
          <w:rPr>
            <w:noProof/>
            <w:webHidden/>
          </w:rPr>
        </w:r>
        <w:r>
          <w:rPr>
            <w:noProof/>
            <w:webHidden/>
          </w:rPr>
          <w:fldChar w:fldCharType="separate"/>
        </w:r>
        <w:r w:rsidR="00D268D2">
          <w:rPr>
            <w:noProof/>
            <w:webHidden/>
          </w:rPr>
          <w:t>34</w:t>
        </w:r>
        <w:r>
          <w:rPr>
            <w:noProof/>
            <w:webHidden/>
          </w:rPr>
          <w:fldChar w:fldCharType="end"/>
        </w:r>
      </w:hyperlink>
    </w:p>
    <w:p w14:paraId="6BFE1822" w14:textId="6491EACC" w:rsidR="00BD7B89" w:rsidRDefault="00BD7B89">
      <w:pPr>
        <w:pStyle w:val="21"/>
        <w:tabs>
          <w:tab w:val="right" w:leader="dot" w:pos="9061"/>
        </w:tabs>
        <w:rPr>
          <w:rFonts w:ascii="Calibri" w:hAnsi="Calibri"/>
          <w:noProof/>
          <w:kern w:val="2"/>
        </w:rPr>
      </w:pPr>
      <w:hyperlink w:anchor="_Toc194558736" w:history="1">
        <w:r w:rsidRPr="00EB6147">
          <w:rPr>
            <w:rStyle w:val="a3"/>
            <w:noProof/>
          </w:rPr>
          <w:t>Парламентская газета, 02.04.2025, Законопроект о получении инвалидами СВО двух пенсий поддержали ко II чтению</w:t>
        </w:r>
        <w:r>
          <w:rPr>
            <w:noProof/>
            <w:webHidden/>
          </w:rPr>
          <w:tab/>
        </w:r>
        <w:r>
          <w:rPr>
            <w:noProof/>
            <w:webHidden/>
          </w:rPr>
          <w:fldChar w:fldCharType="begin"/>
        </w:r>
        <w:r>
          <w:rPr>
            <w:noProof/>
            <w:webHidden/>
          </w:rPr>
          <w:instrText xml:space="preserve"> PAGEREF _Toc194558736 \h </w:instrText>
        </w:r>
        <w:r>
          <w:rPr>
            <w:noProof/>
            <w:webHidden/>
          </w:rPr>
        </w:r>
        <w:r>
          <w:rPr>
            <w:noProof/>
            <w:webHidden/>
          </w:rPr>
          <w:fldChar w:fldCharType="separate"/>
        </w:r>
        <w:r w:rsidR="00D268D2">
          <w:rPr>
            <w:noProof/>
            <w:webHidden/>
          </w:rPr>
          <w:t>34</w:t>
        </w:r>
        <w:r>
          <w:rPr>
            <w:noProof/>
            <w:webHidden/>
          </w:rPr>
          <w:fldChar w:fldCharType="end"/>
        </w:r>
      </w:hyperlink>
    </w:p>
    <w:p w14:paraId="0DF0CADD" w14:textId="3786F743" w:rsidR="00BD7B89" w:rsidRDefault="00BD7B89">
      <w:pPr>
        <w:pStyle w:val="31"/>
        <w:rPr>
          <w:rFonts w:ascii="Calibri" w:hAnsi="Calibri"/>
          <w:kern w:val="2"/>
        </w:rPr>
      </w:pPr>
      <w:hyperlink w:anchor="_Toc194558737" w:history="1">
        <w:r w:rsidRPr="00EB6147">
          <w:rPr>
            <w:rStyle w:val="a3"/>
          </w:rPr>
          <w:t>Комитет Госдумы по труду, социальной политике и делам ветеранов на заседании комитета 2 апреля поддержал ко второму чтению законопроект, который дает право ополченцам из Донецкой и Луганской народных республик, а также участникам СВО, ставшим инвалидами в результате боевых действий, получать сразу две пенсии: по инвалидности и по старости или по инвалидности и за выслугу лет.</w:t>
        </w:r>
        <w:r>
          <w:rPr>
            <w:webHidden/>
          </w:rPr>
          <w:tab/>
        </w:r>
        <w:r>
          <w:rPr>
            <w:webHidden/>
          </w:rPr>
          <w:fldChar w:fldCharType="begin"/>
        </w:r>
        <w:r>
          <w:rPr>
            <w:webHidden/>
          </w:rPr>
          <w:instrText xml:space="preserve"> PAGEREF _Toc194558737 \h </w:instrText>
        </w:r>
        <w:r>
          <w:rPr>
            <w:webHidden/>
          </w:rPr>
        </w:r>
        <w:r>
          <w:rPr>
            <w:webHidden/>
          </w:rPr>
          <w:fldChar w:fldCharType="separate"/>
        </w:r>
        <w:r w:rsidR="00D268D2">
          <w:rPr>
            <w:webHidden/>
          </w:rPr>
          <w:t>34</w:t>
        </w:r>
        <w:r>
          <w:rPr>
            <w:webHidden/>
          </w:rPr>
          <w:fldChar w:fldCharType="end"/>
        </w:r>
      </w:hyperlink>
    </w:p>
    <w:p w14:paraId="69A33329" w14:textId="5D1CAA10" w:rsidR="00BD7B89" w:rsidRDefault="00BD7B89">
      <w:pPr>
        <w:pStyle w:val="21"/>
        <w:tabs>
          <w:tab w:val="right" w:leader="dot" w:pos="9061"/>
        </w:tabs>
        <w:rPr>
          <w:rFonts w:ascii="Calibri" w:hAnsi="Calibri"/>
          <w:noProof/>
          <w:kern w:val="2"/>
        </w:rPr>
      </w:pPr>
      <w:hyperlink w:anchor="_Toc194558738" w:history="1">
        <w:r w:rsidRPr="00EB6147">
          <w:rPr>
            <w:rStyle w:val="a3"/>
            <w:noProof/>
          </w:rPr>
          <w:t>Интерфакс, 02.04.2025, Совет Федерации ратифицировал протокол к соглашению с Южной Осетией о пенсиях</w:t>
        </w:r>
        <w:r>
          <w:rPr>
            <w:noProof/>
            <w:webHidden/>
          </w:rPr>
          <w:tab/>
        </w:r>
        <w:r>
          <w:rPr>
            <w:noProof/>
            <w:webHidden/>
          </w:rPr>
          <w:fldChar w:fldCharType="begin"/>
        </w:r>
        <w:r>
          <w:rPr>
            <w:noProof/>
            <w:webHidden/>
          </w:rPr>
          <w:instrText xml:space="preserve"> PAGEREF _Toc194558738 \h </w:instrText>
        </w:r>
        <w:r>
          <w:rPr>
            <w:noProof/>
            <w:webHidden/>
          </w:rPr>
        </w:r>
        <w:r>
          <w:rPr>
            <w:noProof/>
            <w:webHidden/>
          </w:rPr>
          <w:fldChar w:fldCharType="separate"/>
        </w:r>
        <w:r w:rsidR="00D268D2">
          <w:rPr>
            <w:noProof/>
            <w:webHidden/>
          </w:rPr>
          <w:t>35</w:t>
        </w:r>
        <w:r>
          <w:rPr>
            <w:noProof/>
            <w:webHidden/>
          </w:rPr>
          <w:fldChar w:fldCharType="end"/>
        </w:r>
      </w:hyperlink>
    </w:p>
    <w:p w14:paraId="34EE928C" w14:textId="52E9DD57" w:rsidR="00BD7B89" w:rsidRDefault="00BD7B89">
      <w:pPr>
        <w:pStyle w:val="31"/>
        <w:rPr>
          <w:rFonts w:ascii="Calibri" w:hAnsi="Calibri"/>
          <w:kern w:val="2"/>
        </w:rPr>
      </w:pPr>
      <w:hyperlink w:anchor="_Toc194558739" w:history="1">
        <w:r w:rsidRPr="00EB6147">
          <w:rPr>
            <w:rStyle w:val="a3"/>
          </w:rPr>
          <w:t>Совет Федерации на заседании в среду одобрил закон о ратификации протокола о внесении изменений в соглашение России и Южной Осетии о пенсионном обеспечении граждан РФ, постоянно проживающих в республике.</w:t>
        </w:r>
        <w:r>
          <w:rPr>
            <w:webHidden/>
          </w:rPr>
          <w:tab/>
        </w:r>
        <w:r>
          <w:rPr>
            <w:webHidden/>
          </w:rPr>
          <w:fldChar w:fldCharType="begin"/>
        </w:r>
        <w:r>
          <w:rPr>
            <w:webHidden/>
          </w:rPr>
          <w:instrText xml:space="preserve"> PAGEREF _Toc194558739 \h </w:instrText>
        </w:r>
        <w:r>
          <w:rPr>
            <w:webHidden/>
          </w:rPr>
        </w:r>
        <w:r>
          <w:rPr>
            <w:webHidden/>
          </w:rPr>
          <w:fldChar w:fldCharType="separate"/>
        </w:r>
        <w:r w:rsidR="00D268D2">
          <w:rPr>
            <w:webHidden/>
          </w:rPr>
          <w:t>35</w:t>
        </w:r>
        <w:r>
          <w:rPr>
            <w:webHidden/>
          </w:rPr>
          <w:fldChar w:fldCharType="end"/>
        </w:r>
      </w:hyperlink>
    </w:p>
    <w:p w14:paraId="3F78D8DB" w14:textId="72B963A8" w:rsidR="00BD7B89" w:rsidRDefault="00BD7B89">
      <w:pPr>
        <w:pStyle w:val="21"/>
        <w:tabs>
          <w:tab w:val="right" w:leader="dot" w:pos="9061"/>
        </w:tabs>
        <w:rPr>
          <w:rFonts w:ascii="Calibri" w:hAnsi="Calibri"/>
          <w:noProof/>
          <w:kern w:val="2"/>
        </w:rPr>
      </w:pPr>
      <w:hyperlink w:anchor="_Toc194558740" w:history="1">
        <w:r w:rsidRPr="00EB6147">
          <w:rPr>
            <w:rStyle w:val="a3"/>
            <w:noProof/>
          </w:rPr>
          <w:t>RT, 02.04.2025, В ГД напомнили о механизме двухэтапной индексации страховых пенсий в 2026 году</w:t>
        </w:r>
        <w:r>
          <w:rPr>
            <w:noProof/>
            <w:webHidden/>
          </w:rPr>
          <w:tab/>
        </w:r>
        <w:r>
          <w:rPr>
            <w:noProof/>
            <w:webHidden/>
          </w:rPr>
          <w:fldChar w:fldCharType="begin"/>
        </w:r>
        <w:r>
          <w:rPr>
            <w:noProof/>
            <w:webHidden/>
          </w:rPr>
          <w:instrText xml:space="preserve"> PAGEREF _Toc194558740 \h </w:instrText>
        </w:r>
        <w:r>
          <w:rPr>
            <w:noProof/>
            <w:webHidden/>
          </w:rPr>
        </w:r>
        <w:r>
          <w:rPr>
            <w:noProof/>
            <w:webHidden/>
          </w:rPr>
          <w:fldChar w:fldCharType="separate"/>
        </w:r>
        <w:r w:rsidR="00D268D2">
          <w:rPr>
            <w:noProof/>
            <w:webHidden/>
          </w:rPr>
          <w:t>35</w:t>
        </w:r>
        <w:r>
          <w:rPr>
            <w:noProof/>
            <w:webHidden/>
          </w:rPr>
          <w:fldChar w:fldCharType="end"/>
        </w:r>
      </w:hyperlink>
    </w:p>
    <w:p w14:paraId="1A2414CA" w14:textId="70A12B0B" w:rsidR="00BD7B89" w:rsidRDefault="00BD7B89">
      <w:pPr>
        <w:pStyle w:val="31"/>
        <w:rPr>
          <w:rFonts w:ascii="Calibri" w:hAnsi="Calibri"/>
          <w:kern w:val="2"/>
        </w:rPr>
      </w:pPr>
      <w:hyperlink w:anchor="_Toc194558741" w:history="1">
        <w:r w:rsidRPr="00EB6147">
          <w:rPr>
            <w:rStyle w:val="a3"/>
          </w:rPr>
          <w:t>Председатель комитета Государственной думы по вопросам собственности, земельным и имущественным отношениям (фракция КПРФ) Сергей Гаврилов рассказал RT о двухэтапной индексации страховых пенсий в 2026 году.</w:t>
        </w:r>
        <w:r>
          <w:rPr>
            <w:webHidden/>
          </w:rPr>
          <w:tab/>
        </w:r>
        <w:r>
          <w:rPr>
            <w:webHidden/>
          </w:rPr>
          <w:fldChar w:fldCharType="begin"/>
        </w:r>
        <w:r>
          <w:rPr>
            <w:webHidden/>
          </w:rPr>
          <w:instrText xml:space="preserve"> PAGEREF _Toc194558741 \h </w:instrText>
        </w:r>
        <w:r>
          <w:rPr>
            <w:webHidden/>
          </w:rPr>
        </w:r>
        <w:r>
          <w:rPr>
            <w:webHidden/>
          </w:rPr>
          <w:fldChar w:fldCharType="separate"/>
        </w:r>
        <w:r w:rsidR="00D268D2">
          <w:rPr>
            <w:webHidden/>
          </w:rPr>
          <w:t>35</w:t>
        </w:r>
        <w:r>
          <w:rPr>
            <w:webHidden/>
          </w:rPr>
          <w:fldChar w:fldCharType="end"/>
        </w:r>
      </w:hyperlink>
    </w:p>
    <w:p w14:paraId="753E4AF1" w14:textId="18E20EE8" w:rsidR="00BD7B89" w:rsidRDefault="00BD7B89">
      <w:pPr>
        <w:pStyle w:val="21"/>
        <w:tabs>
          <w:tab w:val="right" w:leader="dot" w:pos="9061"/>
        </w:tabs>
        <w:rPr>
          <w:rFonts w:ascii="Calibri" w:hAnsi="Calibri"/>
          <w:noProof/>
          <w:kern w:val="2"/>
        </w:rPr>
      </w:pPr>
      <w:hyperlink w:anchor="_Toc194558742" w:history="1">
        <w:r w:rsidRPr="00EB6147">
          <w:rPr>
            <w:rStyle w:val="a3"/>
            <w:noProof/>
          </w:rPr>
          <w:t>Говорит Москва, 02.04.2025, В Союзе пенсионеров России рассказали, по какому принципу индексируются социальные выплаты</w:t>
        </w:r>
        <w:r>
          <w:rPr>
            <w:noProof/>
            <w:webHidden/>
          </w:rPr>
          <w:tab/>
        </w:r>
        <w:r>
          <w:rPr>
            <w:noProof/>
            <w:webHidden/>
          </w:rPr>
          <w:fldChar w:fldCharType="begin"/>
        </w:r>
        <w:r>
          <w:rPr>
            <w:noProof/>
            <w:webHidden/>
          </w:rPr>
          <w:instrText xml:space="preserve"> PAGEREF _Toc194558742 \h </w:instrText>
        </w:r>
        <w:r>
          <w:rPr>
            <w:noProof/>
            <w:webHidden/>
          </w:rPr>
        </w:r>
        <w:r>
          <w:rPr>
            <w:noProof/>
            <w:webHidden/>
          </w:rPr>
          <w:fldChar w:fldCharType="separate"/>
        </w:r>
        <w:r w:rsidR="00D268D2">
          <w:rPr>
            <w:noProof/>
            <w:webHidden/>
          </w:rPr>
          <w:t>36</w:t>
        </w:r>
        <w:r>
          <w:rPr>
            <w:noProof/>
            <w:webHidden/>
          </w:rPr>
          <w:fldChar w:fldCharType="end"/>
        </w:r>
      </w:hyperlink>
    </w:p>
    <w:p w14:paraId="71CDFD47" w14:textId="66B71F37" w:rsidR="00BD7B89" w:rsidRDefault="00BD7B89">
      <w:pPr>
        <w:pStyle w:val="31"/>
        <w:rPr>
          <w:rFonts w:ascii="Calibri" w:hAnsi="Calibri"/>
          <w:kern w:val="2"/>
        </w:rPr>
      </w:pPr>
      <w:hyperlink w:anchor="_Toc194558743" w:history="1">
        <w:r w:rsidRPr="00EB6147">
          <w:rPr>
            <w:rStyle w:val="a3"/>
          </w:rPr>
          <w:t>Сумма рассчитывается с учётом текущей инфляции и темпов роста прожиточного минимума. Об этом в эфире радиостанции «Говорит Москва» рассказал председатель организации Валерий Рязанский.</w:t>
        </w:r>
        <w:r>
          <w:rPr>
            <w:webHidden/>
          </w:rPr>
          <w:tab/>
        </w:r>
        <w:r>
          <w:rPr>
            <w:webHidden/>
          </w:rPr>
          <w:fldChar w:fldCharType="begin"/>
        </w:r>
        <w:r>
          <w:rPr>
            <w:webHidden/>
          </w:rPr>
          <w:instrText xml:space="preserve"> PAGEREF _Toc194558743 \h </w:instrText>
        </w:r>
        <w:r>
          <w:rPr>
            <w:webHidden/>
          </w:rPr>
        </w:r>
        <w:r>
          <w:rPr>
            <w:webHidden/>
          </w:rPr>
          <w:fldChar w:fldCharType="separate"/>
        </w:r>
        <w:r w:rsidR="00D268D2">
          <w:rPr>
            <w:webHidden/>
          </w:rPr>
          <w:t>36</w:t>
        </w:r>
        <w:r>
          <w:rPr>
            <w:webHidden/>
          </w:rPr>
          <w:fldChar w:fldCharType="end"/>
        </w:r>
      </w:hyperlink>
    </w:p>
    <w:p w14:paraId="067A8535" w14:textId="0FFA8D26" w:rsidR="00BD7B89" w:rsidRDefault="00BD7B89">
      <w:pPr>
        <w:pStyle w:val="21"/>
        <w:tabs>
          <w:tab w:val="right" w:leader="dot" w:pos="9061"/>
        </w:tabs>
        <w:rPr>
          <w:rFonts w:ascii="Calibri" w:hAnsi="Calibri"/>
          <w:noProof/>
          <w:kern w:val="2"/>
        </w:rPr>
      </w:pPr>
      <w:hyperlink w:anchor="_Toc194558744" w:history="1">
        <w:r w:rsidRPr="00EB6147">
          <w:rPr>
            <w:rStyle w:val="a3"/>
            <w:noProof/>
          </w:rPr>
          <w:t>Лента.ру, 02.04.2025, Кто пойдет на пенсию по старости в 2025 году? Возраст выхода на пенсию для мужчин и женщин</w:t>
        </w:r>
        <w:r>
          <w:rPr>
            <w:noProof/>
            <w:webHidden/>
          </w:rPr>
          <w:tab/>
        </w:r>
        <w:r>
          <w:rPr>
            <w:noProof/>
            <w:webHidden/>
          </w:rPr>
          <w:fldChar w:fldCharType="begin"/>
        </w:r>
        <w:r>
          <w:rPr>
            <w:noProof/>
            <w:webHidden/>
          </w:rPr>
          <w:instrText xml:space="preserve"> PAGEREF _Toc194558744 \h </w:instrText>
        </w:r>
        <w:r>
          <w:rPr>
            <w:noProof/>
            <w:webHidden/>
          </w:rPr>
        </w:r>
        <w:r>
          <w:rPr>
            <w:noProof/>
            <w:webHidden/>
          </w:rPr>
          <w:fldChar w:fldCharType="separate"/>
        </w:r>
        <w:r w:rsidR="00D268D2">
          <w:rPr>
            <w:noProof/>
            <w:webHidden/>
          </w:rPr>
          <w:t>37</w:t>
        </w:r>
        <w:r>
          <w:rPr>
            <w:noProof/>
            <w:webHidden/>
          </w:rPr>
          <w:fldChar w:fldCharType="end"/>
        </w:r>
      </w:hyperlink>
    </w:p>
    <w:p w14:paraId="2554F1D6" w14:textId="652B7B1A" w:rsidR="00BD7B89" w:rsidRDefault="00BD7B89">
      <w:pPr>
        <w:pStyle w:val="31"/>
        <w:rPr>
          <w:rFonts w:ascii="Calibri" w:hAnsi="Calibri"/>
          <w:kern w:val="2"/>
        </w:rPr>
      </w:pPr>
      <w:hyperlink w:anchor="_Toc194558745" w:history="1">
        <w:r w:rsidRPr="00EB6147">
          <w:rPr>
            <w:rStyle w:val="a3"/>
          </w:rPr>
          <w:t>В соответствии с пенсионной реформой, которая началась в 2019 году, к 2028-му возраст выхода на пенсию должен увеличиться на пять лет. Тогда мужчины смогут получать страховую пенсию по старости в 65 лет, а женщины - в 60 лет. Переход к этой системе осуществляется постепенно: пенсионный возраст поднимается каждый год. «Лента.ру» рассказывает, кто может уйти на пенсию в 2025 году и какие условия для этого должны быть соблюдены.</w:t>
        </w:r>
        <w:r>
          <w:rPr>
            <w:webHidden/>
          </w:rPr>
          <w:tab/>
        </w:r>
        <w:r>
          <w:rPr>
            <w:webHidden/>
          </w:rPr>
          <w:fldChar w:fldCharType="begin"/>
        </w:r>
        <w:r>
          <w:rPr>
            <w:webHidden/>
          </w:rPr>
          <w:instrText xml:space="preserve"> PAGEREF _Toc194558745 \h </w:instrText>
        </w:r>
        <w:r>
          <w:rPr>
            <w:webHidden/>
          </w:rPr>
        </w:r>
        <w:r>
          <w:rPr>
            <w:webHidden/>
          </w:rPr>
          <w:fldChar w:fldCharType="separate"/>
        </w:r>
        <w:r w:rsidR="00D268D2">
          <w:rPr>
            <w:webHidden/>
          </w:rPr>
          <w:t>37</w:t>
        </w:r>
        <w:r>
          <w:rPr>
            <w:webHidden/>
          </w:rPr>
          <w:fldChar w:fldCharType="end"/>
        </w:r>
      </w:hyperlink>
    </w:p>
    <w:p w14:paraId="46CE5F55" w14:textId="3CC9DD8D" w:rsidR="00BD7B89" w:rsidRDefault="00BD7B89">
      <w:pPr>
        <w:pStyle w:val="21"/>
        <w:tabs>
          <w:tab w:val="right" w:leader="dot" w:pos="9061"/>
        </w:tabs>
        <w:rPr>
          <w:rFonts w:ascii="Calibri" w:hAnsi="Calibri"/>
          <w:noProof/>
          <w:kern w:val="2"/>
        </w:rPr>
      </w:pPr>
      <w:hyperlink w:anchor="_Toc194558746" w:history="1">
        <w:r w:rsidRPr="00EB6147">
          <w:rPr>
            <w:rStyle w:val="a3"/>
            <w:noProof/>
          </w:rPr>
          <w:t>NEWS.ru, 02.04.2025, Стало известно, могут ли в РФ вновь поднять пенсионный возраст</w:t>
        </w:r>
        <w:r>
          <w:rPr>
            <w:noProof/>
            <w:webHidden/>
          </w:rPr>
          <w:tab/>
        </w:r>
        <w:r>
          <w:rPr>
            <w:noProof/>
            <w:webHidden/>
          </w:rPr>
          <w:fldChar w:fldCharType="begin"/>
        </w:r>
        <w:r>
          <w:rPr>
            <w:noProof/>
            <w:webHidden/>
          </w:rPr>
          <w:instrText xml:space="preserve"> PAGEREF _Toc194558746 \h </w:instrText>
        </w:r>
        <w:r>
          <w:rPr>
            <w:noProof/>
            <w:webHidden/>
          </w:rPr>
        </w:r>
        <w:r>
          <w:rPr>
            <w:noProof/>
            <w:webHidden/>
          </w:rPr>
          <w:fldChar w:fldCharType="separate"/>
        </w:r>
        <w:r w:rsidR="00D268D2">
          <w:rPr>
            <w:noProof/>
            <w:webHidden/>
          </w:rPr>
          <w:t>42</w:t>
        </w:r>
        <w:r>
          <w:rPr>
            <w:noProof/>
            <w:webHidden/>
          </w:rPr>
          <w:fldChar w:fldCharType="end"/>
        </w:r>
      </w:hyperlink>
    </w:p>
    <w:p w14:paraId="762C0961" w14:textId="2681F4CC" w:rsidR="00BD7B89" w:rsidRDefault="00BD7B89">
      <w:pPr>
        <w:pStyle w:val="31"/>
        <w:rPr>
          <w:rFonts w:ascii="Calibri" w:hAnsi="Calibri"/>
          <w:kern w:val="2"/>
        </w:rPr>
      </w:pPr>
      <w:hyperlink w:anchor="_Toc194558747" w:history="1">
        <w:r w:rsidRPr="00EB6147">
          <w:rPr>
            <w:rStyle w:val="a3"/>
          </w:rPr>
          <w:t>Повышение возраста молодежи в России может в конечном итоге привести к росту и пенсионного возраста, заявил NEWS.ru ведущий аналитик AMarkets Игорь Расторгуев. В то же время люди до 44 лет могут получить дополнительные плюсы на рынке труда и даже льготы.</w:t>
        </w:r>
        <w:r>
          <w:rPr>
            <w:webHidden/>
          </w:rPr>
          <w:tab/>
        </w:r>
        <w:r>
          <w:rPr>
            <w:webHidden/>
          </w:rPr>
          <w:fldChar w:fldCharType="begin"/>
        </w:r>
        <w:r>
          <w:rPr>
            <w:webHidden/>
          </w:rPr>
          <w:instrText xml:space="preserve"> PAGEREF _Toc194558747 \h </w:instrText>
        </w:r>
        <w:r>
          <w:rPr>
            <w:webHidden/>
          </w:rPr>
        </w:r>
        <w:r>
          <w:rPr>
            <w:webHidden/>
          </w:rPr>
          <w:fldChar w:fldCharType="separate"/>
        </w:r>
        <w:r w:rsidR="00D268D2">
          <w:rPr>
            <w:webHidden/>
          </w:rPr>
          <w:t>42</w:t>
        </w:r>
        <w:r>
          <w:rPr>
            <w:webHidden/>
          </w:rPr>
          <w:fldChar w:fldCharType="end"/>
        </w:r>
      </w:hyperlink>
    </w:p>
    <w:p w14:paraId="1270D5B6" w14:textId="236D8151" w:rsidR="00BD7B89" w:rsidRDefault="00BD7B89">
      <w:pPr>
        <w:pStyle w:val="21"/>
        <w:tabs>
          <w:tab w:val="right" w:leader="dot" w:pos="9061"/>
        </w:tabs>
        <w:rPr>
          <w:rFonts w:ascii="Calibri" w:hAnsi="Calibri"/>
          <w:noProof/>
          <w:kern w:val="2"/>
        </w:rPr>
      </w:pPr>
      <w:hyperlink w:anchor="_Toc194558748" w:history="1">
        <w:r w:rsidRPr="00EB6147">
          <w:rPr>
            <w:rStyle w:val="a3"/>
            <w:noProof/>
          </w:rPr>
          <w:t>АиФ, 02.04.2025, У кого есть пенсионные накопления и как их получить?</w:t>
        </w:r>
        <w:r>
          <w:rPr>
            <w:noProof/>
            <w:webHidden/>
          </w:rPr>
          <w:tab/>
        </w:r>
        <w:r>
          <w:rPr>
            <w:noProof/>
            <w:webHidden/>
          </w:rPr>
          <w:fldChar w:fldCharType="begin"/>
        </w:r>
        <w:r>
          <w:rPr>
            <w:noProof/>
            <w:webHidden/>
          </w:rPr>
          <w:instrText xml:space="preserve"> PAGEREF _Toc194558748 \h </w:instrText>
        </w:r>
        <w:r>
          <w:rPr>
            <w:noProof/>
            <w:webHidden/>
          </w:rPr>
        </w:r>
        <w:r>
          <w:rPr>
            <w:noProof/>
            <w:webHidden/>
          </w:rPr>
          <w:fldChar w:fldCharType="separate"/>
        </w:r>
        <w:r w:rsidR="00D268D2">
          <w:rPr>
            <w:noProof/>
            <w:webHidden/>
          </w:rPr>
          <w:t>42</w:t>
        </w:r>
        <w:r>
          <w:rPr>
            <w:noProof/>
            <w:webHidden/>
          </w:rPr>
          <w:fldChar w:fldCharType="end"/>
        </w:r>
      </w:hyperlink>
    </w:p>
    <w:p w14:paraId="0DC36A2E" w14:textId="0C94E68F" w:rsidR="00BD7B89" w:rsidRDefault="00BD7B89">
      <w:pPr>
        <w:pStyle w:val="31"/>
        <w:rPr>
          <w:rFonts w:ascii="Calibri" w:hAnsi="Calibri"/>
          <w:kern w:val="2"/>
        </w:rPr>
      </w:pPr>
      <w:hyperlink w:anchor="_Toc194558749" w:history="1">
        <w:r w:rsidRPr="00EB6147">
          <w:rPr>
            <w:rStyle w:val="a3"/>
          </w:rPr>
          <w:t>У пенсионеров есть право получить деньги из средств пенсионных накоплений. Кто может воспользоваться этим правом, с какого возраста их можно получить и куда подавать заявление?</w:t>
        </w:r>
        <w:r>
          <w:rPr>
            <w:webHidden/>
          </w:rPr>
          <w:tab/>
        </w:r>
        <w:r>
          <w:rPr>
            <w:webHidden/>
          </w:rPr>
          <w:fldChar w:fldCharType="begin"/>
        </w:r>
        <w:r>
          <w:rPr>
            <w:webHidden/>
          </w:rPr>
          <w:instrText xml:space="preserve"> PAGEREF _Toc194558749 \h </w:instrText>
        </w:r>
        <w:r>
          <w:rPr>
            <w:webHidden/>
          </w:rPr>
        </w:r>
        <w:r>
          <w:rPr>
            <w:webHidden/>
          </w:rPr>
          <w:fldChar w:fldCharType="separate"/>
        </w:r>
        <w:r w:rsidR="00D268D2">
          <w:rPr>
            <w:webHidden/>
          </w:rPr>
          <w:t>42</w:t>
        </w:r>
        <w:r>
          <w:rPr>
            <w:webHidden/>
          </w:rPr>
          <w:fldChar w:fldCharType="end"/>
        </w:r>
      </w:hyperlink>
    </w:p>
    <w:p w14:paraId="1CCD2FFE" w14:textId="6E371041" w:rsidR="00BD7B89" w:rsidRDefault="00BD7B89">
      <w:pPr>
        <w:pStyle w:val="21"/>
        <w:tabs>
          <w:tab w:val="right" w:leader="dot" w:pos="9061"/>
        </w:tabs>
        <w:rPr>
          <w:rFonts w:ascii="Calibri" w:hAnsi="Calibri"/>
          <w:noProof/>
          <w:kern w:val="2"/>
        </w:rPr>
      </w:pPr>
      <w:hyperlink w:anchor="_Toc194558750" w:history="1">
        <w:r w:rsidRPr="00EB6147">
          <w:rPr>
            <w:rStyle w:val="a3"/>
            <w:noProof/>
          </w:rPr>
          <w:t>Конкурент, 02.04.2025, СФР: грядет масштабное повышение пенсий. Солидные суммы зачислят миллионам россиян</w:t>
        </w:r>
        <w:r>
          <w:rPr>
            <w:noProof/>
            <w:webHidden/>
          </w:rPr>
          <w:tab/>
        </w:r>
        <w:r>
          <w:rPr>
            <w:noProof/>
            <w:webHidden/>
          </w:rPr>
          <w:fldChar w:fldCharType="begin"/>
        </w:r>
        <w:r>
          <w:rPr>
            <w:noProof/>
            <w:webHidden/>
          </w:rPr>
          <w:instrText xml:space="preserve"> PAGEREF _Toc194558750 \h </w:instrText>
        </w:r>
        <w:r>
          <w:rPr>
            <w:noProof/>
            <w:webHidden/>
          </w:rPr>
        </w:r>
        <w:r>
          <w:rPr>
            <w:noProof/>
            <w:webHidden/>
          </w:rPr>
          <w:fldChar w:fldCharType="separate"/>
        </w:r>
        <w:r w:rsidR="00D268D2">
          <w:rPr>
            <w:noProof/>
            <w:webHidden/>
          </w:rPr>
          <w:t>43</w:t>
        </w:r>
        <w:r>
          <w:rPr>
            <w:noProof/>
            <w:webHidden/>
          </w:rPr>
          <w:fldChar w:fldCharType="end"/>
        </w:r>
      </w:hyperlink>
    </w:p>
    <w:p w14:paraId="06B6EF7B" w14:textId="6E388E55" w:rsidR="00BD7B89" w:rsidRDefault="00BD7B89">
      <w:pPr>
        <w:pStyle w:val="31"/>
        <w:rPr>
          <w:rFonts w:ascii="Calibri" w:hAnsi="Calibri"/>
          <w:kern w:val="2"/>
        </w:rPr>
      </w:pPr>
      <w:hyperlink w:anchor="_Toc194558751" w:history="1">
        <w:r w:rsidRPr="00EB6147">
          <w:rPr>
            <w:rStyle w:val="a3"/>
          </w:rPr>
          <w:t>В пресс-службе рассказали о зачислении уже повышенных пенсий гражданам России, которое начнется уже с 3 апреля. Речь идет о третьей в этом году индексации пенсий. На этот раз повышены государственные и социальные пенсии. Размер индексации составил почти 15 процентов.</w:t>
        </w:r>
        <w:r>
          <w:rPr>
            <w:webHidden/>
          </w:rPr>
          <w:tab/>
        </w:r>
        <w:r>
          <w:rPr>
            <w:webHidden/>
          </w:rPr>
          <w:fldChar w:fldCharType="begin"/>
        </w:r>
        <w:r>
          <w:rPr>
            <w:webHidden/>
          </w:rPr>
          <w:instrText xml:space="preserve"> PAGEREF _Toc194558751 \h </w:instrText>
        </w:r>
        <w:r>
          <w:rPr>
            <w:webHidden/>
          </w:rPr>
        </w:r>
        <w:r>
          <w:rPr>
            <w:webHidden/>
          </w:rPr>
          <w:fldChar w:fldCharType="separate"/>
        </w:r>
        <w:r w:rsidR="00D268D2">
          <w:rPr>
            <w:webHidden/>
          </w:rPr>
          <w:t>43</w:t>
        </w:r>
        <w:r>
          <w:rPr>
            <w:webHidden/>
          </w:rPr>
          <w:fldChar w:fldCharType="end"/>
        </w:r>
      </w:hyperlink>
    </w:p>
    <w:p w14:paraId="330DEABF" w14:textId="7F5F64DB" w:rsidR="00BD7B89" w:rsidRDefault="00BD7B89">
      <w:pPr>
        <w:pStyle w:val="21"/>
        <w:tabs>
          <w:tab w:val="right" w:leader="dot" w:pos="9061"/>
        </w:tabs>
        <w:rPr>
          <w:rFonts w:ascii="Calibri" w:hAnsi="Calibri"/>
          <w:noProof/>
          <w:kern w:val="2"/>
        </w:rPr>
      </w:pPr>
      <w:hyperlink w:anchor="_Toc194558752" w:history="1">
        <w:r w:rsidRPr="00EB6147">
          <w:rPr>
            <w:rStyle w:val="a3"/>
            <w:noProof/>
          </w:rPr>
          <w:t>Конкурент, 02.04.2025, Пенсионеров оставят без единой карты: глава Минтруда озвучил весомые причины</w:t>
        </w:r>
        <w:r>
          <w:rPr>
            <w:noProof/>
            <w:webHidden/>
          </w:rPr>
          <w:tab/>
        </w:r>
        <w:r>
          <w:rPr>
            <w:noProof/>
            <w:webHidden/>
          </w:rPr>
          <w:fldChar w:fldCharType="begin"/>
        </w:r>
        <w:r>
          <w:rPr>
            <w:noProof/>
            <w:webHidden/>
          </w:rPr>
          <w:instrText xml:space="preserve"> PAGEREF _Toc194558752 \h </w:instrText>
        </w:r>
        <w:r>
          <w:rPr>
            <w:noProof/>
            <w:webHidden/>
          </w:rPr>
        </w:r>
        <w:r>
          <w:rPr>
            <w:noProof/>
            <w:webHidden/>
          </w:rPr>
          <w:fldChar w:fldCharType="separate"/>
        </w:r>
        <w:r w:rsidR="00D268D2">
          <w:rPr>
            <w:noProof/>
            <w:webHidden/>
          </w:rPr>
          <w:t>44</w:t>
        </w:r>
        <w:r>
          <w:rPr>
            <w:noProof/>
            <w:webHidden/>
          </w:rPr>
          <w:fldChar w:fldCharType="end"/>
        </w:r>
      </w:hyperlink>
    </w:p>
    <w:p w14:paraId="37F3698B" w14:textId="54070AB8" w:rsidR="00BD7B89" w:rsidRDefault="00BD7B89">
      <w:pPr>
        <w:pStyle w:val="31"/>
        <w:rPr>
          <w:rFonts w:ascii="Calibri" w:hAnsi="Calibri"/>
          <w:kern w:val="2"/>
        </w:rPr>
      </w:pPr>
      <w:hyperlink w:anchor="_Toc194558753" w:history="1">
        <w:r w:rsidRPr="00EB6147">
          <w:rPr>
            <w:rStyle w:val="a3"/>
          </w:rPr>
          <w:t>Введение в России единой карты для пенсионеров повлечет за собой перекрестное финансирование между субъектами, для ряда регионов это может обернуться серьезными выпадающими доходами. Об этом заявил министр труда и социальной защиты РФ Антон Котяков.</w:t>
        </w:r>
        <w:r>
          <w:rPr>
            <w:webHidden/>
          </w:rPr>
          <w:tab/>
        </w:r>
        <w:r>
          <w:rPr>
            <w:webHidden/>
          </w:rPr>
          <w:fldChar w:fldCharType="begin"/>
        </w:r>
        <w:r>
          <w:rPr>
            <w:webHidden/>
          </w:rPr>
          <w:instrText xml:space="preserve"> PAGEREF _Toc194558753 \h </w:instrText>
        </w:r>
        <w:r>
          <w:rPr>
            <w:webHidden/>
          </w:rPr>
        </w:r>
        <w:r>
          <w:rPr>
            <w:webHidden/>
          </w:rPr>
          <w:fldChar w:fldCharType="separate"/>
        </w:r>
        <w:r w:rsidR="00D268D2">
          <w:rPr>
            <w:webHidden/>
          </w:rPr>
          <w:t>44</w:t>
        </w:r>
        <w:r>
          <w:rPr>
            <w:webHidden/>
          </w:rPr>
          <w:fldChar w:fldCharType="end"/>
        </w:r>
      </w:hyperlink>
    </w:p>
    <w:p w14:paraId="1024D044" w14:textId="1C622EC1" w:rsidR="00BD7B89" w:rsidRDefault="00BD7B89">
      <w:pPr>
        <w:pStyle w:val="21"/>
        <w:tabs>
          <w:tab w:val="right" w:leader="dot" w:pos="9061"/>
        </w:tabs>
        <w:rPr>
          <w:rFonts w:ascii="Calibri" w:hAnsi="Calibri"/>
          <w:noProof/>
          <w:kern w:val="2"/>
        </w:rPr>
      </w:pPr>
      <w:hyperlink w:anchor="_Toc194558754" w:history="1">
        <w:r w:rsidRPr="00EB6147">
          <w:rPr>
            <w:rStyle w:val="a3"/>
            <w:noProof/>
          </w:rPr>
          <w:t>PRIMPRESS, 02.04.2025, Пенсии пересчитают со дня их назначения. Пенсионеров ждет новый сюрприз</w:t>
        </w:r>
        <w:r>
          <w:rPr>
            <w:noProof/>
            <w:webHidden/>
          </w:rPr>
          <w:tab/>
        </w:r>
        <w:r>
          <w:rPr>
            <w:noProof/>
            <w:webHidden/>
          </w:rPr>
          <w:fldChar w:fldCharType="begin"/>
        </w:r>
        <w:r>
          <w:rPr>
            <w:noProof/>
            <w:webHidden/>
          </w:rPr>
          <w:instrText xml:space="preserve"> PAGEREF _Toc194558754 \h </w:instrText>
        </w:r>
        <w:r>
          <w:rPr>
            <w:noProof/>
            <w:webHidden/>
          </w:rPr>
        </w:r>
        <w:r>
          <w:rPr>
            <w:noProof/>
            <w:webHidden/>
          </w:rPr>
          <w:fldChar w:fldCharType="separate"/>
        </w:r>
        <w:r w:rsidR="00D268D2">
          <w:rPr>
            <w:noProof/>
            <w:webHidden/>
          </w:rPr>
          <w:t>44</w:t>
        </w:r>
        <w:r>
          <w:rPr>
            <w:noProof/>
            <w:webHidden/>
          </w:rPr>
          <w:fldChar w:fldCharType="end"/>
        </w:r>
      </w:hyperlink>
    </w:p>
    <w:p w14:paraId="6F568137" w14:textId="41830A04" w:rsidR="00BD7B89" w:rsidRDefault="00BD7B89">
      <w:pPr>
        <w:pStyle w:val="31"/>
        <w:rPr>
          <w:rFonts w:ascii="Calibri" w:hAnsi="Calibri"/>
          <w:kern w:val="2"/>
        </w:rPr>
      </w:pPr>
      <w:hyperlink w:anchor="_Toc194558755" w:history="1">
        <w:r w:rsidRPr="00EB6147">
          <w:rPr>
            <w:rStyle w:val="a3"/>
          </w:rPr>
          <w:t>Пенсионерам рассказали о новом сюрпризе: пенсию им могут пересчитать со дня назначения выплаты, если будет подтвержден определенный стаж. Соответствующее приятное решение принял кассационный суд. Об этом рассказала юрист Ирина Сивакова, сообщает PRIMPRESS.</w:t>
        </w:r>
        <w:r>
          <w:rPr>
            <w:webHidden/>
          </w:rPr>
          <w:tab/>
        </w:r>
        <w:r>
          <w:rPr>
            <w:webHidden/>
          </w:rPr>
          <w:fldChar w:fldCharType="begin"/>
        </w:r>
        <w:r>
          <w:rPr>
            <w:webHidden/>
          </w:rPr>
          <w:instrText xml:space="preserve"> PAGEREF _Toc194558755 \h </w:instrText>
        </w:r>
        <w:r>
          <w:rPr>
            <w:webHidden/>
          </w:rPr>
        </w:r>
        <w:r>
          <w:rPr>
            <w:webHidden/>
          </w:rPr>
          <w:fldChar w:fldCharType="separate"/>
        </w:r>
        <w:r w:rsidR="00D268D2">
          <w:rPr>
            <w:webHidden/>
          </w:rPr>
          <w:t>44</w:t>
        </w:r>
        <w:r>
          <w:rPr>
            <w:webHidden/>
          </w:rPr>
          <w:fldChar w:fldCharType="end"/>
        </w:r>
      </w:hyperlink>
    </w:p>
    <w:p w14:paraId="64A803E1" w14:textId="0F7D5083" w:rsidR="00BD7B89" w:rsidRDefault="00BD7B89">
      <w:pPr>
        <w:pStyle w:val="21"/>
        <w:tabs>
          <w:tab w:val="right" w:leader="dot" w:pos="9061"/>
        </w:tabs>
        <w:rPr>
          <w:rFonts w:ascii="Calibri" w:hAnsi="Calibri"/>
          <w:noProof/>
          <w:kern w:val="2"/>
        </w:rPr>
      </w:pPr>
      <w:hyperlink w:anchor="_Toc194558756" w:history="1">
        <w:r w:rsidRPr="00EB6147">
          <w:rPr>
            <w:rStyle w:val="a3"/>
            <w:noProof/>
          </w:rPr>
          <w:t>Аргументы.ру, 02.04.2025, Доширак вместо аптеки: непростая реальность российских пенсионеров</w:t>
        </w:r>
        <w:r>
          <w:rPr>
            <w:noProof/>
            <w:webHidden/>
          </w:rPr>
          <w:tab/>
        </w:r>
        <w:r>
          <w:rPr>
            <w:noProof/>
            <w:webHidden/>
          </w:rPr>
          <w:fldChar w:fldCharType="begin"/>
        </w:r>
        <w:r>
          <w:rPr>
            <w:noProof/>
            <w:webHidden/>
          </w:rPr>
          <w:instrText xml:space="preserve"> PAGEREF _Toc194558756 \h </w:instrText>
        </w:r>
        <w:r>
          <w:rPr>
            <w:noProof/>
            <w:webHidden/>
          </w:rPr>
        </w:r>
        <w:r>
          <w:rPr>
            <w:noProof/>
            <w:webHidden/>
          </w:rPr>
          <w:fldChar w:fldCharType="separate"/>
        </w:r>
        <w:r w:rsidR="00D268D2">
          <w:rPr>
            <w:noProof/>
            <w:webHidden/>
          </w:rPr>
          <w:t>45</w:t>
        </w:r>
        <w:r>
          <w:rPr>
            <w:noProof/>
            <w:webHidden/>
          </w:rPr>
          <w:fldChar w:fldCharType="end"/>
        </w:r>
      </w:hyperlink>
    </w:p>
    <w:p w14:paraId="1CA9B3F8" w14:textId="20364AF8" w:rsidR="00BD7B89" w:rsidRDefault="00BD7B89">
      <w:pPr>
        <w:pStyle w:val="31"/>
        <w:rPr>
          <w:rFonts w:ascii="Calibri" w:hAnsi="Calibri"/>
          <w:kern w:val="2"/>
        </w:rPr>
      </w:pPr>
      <w:hyperlink w:anchor="_Toc194558757" w:history="1">
        <w:r w:rsidRPr="00EB6147">
          <w:rPr>
            <w:rStyle w:val="a3"/>
          </w:rPr>
          <w:t>Депутат Сергей Гаврилов, возглавляющий комитет Госдумы по вопросам собственности (фракция КПРФ), выступил с заявлением о необходимости пересмотра системы индексации пенсий. По его мнению, существующая система давно уже оторвана от реальной жизни пожилых людей.</w:t>
        </w:r>
        <w:r>
          <w:rPr>
            <w:webHidden/>
          </w:rPr>
          <w:tab/>
        </w:r>
        <w:r>
          <w:rPr>
            <w:webHidden/>
          </w:rPr>
          <w:fldChar w:fldCharType="begin"/>
        </w:r>
        <w:r>
          <w:rPr>
            <w:webHidden/>
          </w:rPr>
          <w:instrText xml:space="preserve"> PAGEREF _Toc194558757 \h </w:instrText>
        </w:r>
        <w:r>
          <w:rPr>
            <w:webHidden/>
          </w:rPr>
        </w:r>
        <w:r>
          <w:rPr>
            <w:webHidden/>
          </w:rPr>
          <w:fldChar w:fldCharType="separate"/>
        </w:r>
        <w:r w:rsidR="00D268D2">
          <w:rPr>
            <w:webHidden/>
          </w:rPr>
          <w:t>45</w:t>
        </w:r>
        <w:r>
          <w:rPr>
            <w:webHidden/>
          </w:rPr>
          <w:fldChar w:fldCharType="end"/>
        </w:r>
      </w:hyperlink>
    </w:p>
    <w:p w14:paraId="3569F3C8" w14:textId="7CB6E303" w:rsidR="00BD7B89" w:rsidRDefault="00BD7B89">
      <w:pPr>
        <w:pStyle w:val="21"/>
        <w:tabs>
          <w:tab w:val="right" w:leader="dot" w:pos="9061"/>
        </w:tabs>
        <w:rPr>
          <w:rFonts w:ascii="Calibri" w:hAnsi="Calibri"/>
          <w:noProof/>
          <w:kern w:val="2"/>
        </w:rPr>
      </w:pPr>
      <w:hyperlink w:anchor="_Toc194558758" w:history="1">
        <w:r w:rsidRPr="00EB6147">
          <w:rPr>
            <w:rStyle w:val="a3"/>
            <w:noProof/>
          </w:rPr>
          <w:t xml:space="preserve">Pravda.ru, 03.04.2025, </w:t>
        </w:r>
        <w:r w:rsidRPr="00EB6147">
          <w:rPr>
            <w:rStyle w:val="a3"/>
            <w:rFonts w:eastAsia="Verdana"/>
            <w:noProof/>
          </w:rPr>
          <w:t>Четыре года судов за пенсию - почему пилотам так трудно её получить</w:t>
        </w:r>
        <w:r>
          <w:rPr>
            <w:noProof/>
            <w:webHidden/>
          </w:rPr>
          <w:tab/>
        </w:r>
        <w:r>
          <w:rPr>
            <w:noProof/>
            <w:webHidden/>
          </w:rPr>
          <w:fldChar w:fldCharType="begin"/>
        </w:r>
        <w:r>
          <w:rPr>
            <w:noProof/>
            <w:webHidden/>
          </w:rPr>
          <w:instrText xml:space="preserve"> PAGEREF _Toc194558758 \h </w:instrText>
        </w:r>
        <w:r>
          <w:rPr>
            <w:noProof/>
            <w:webHidden/>
          </w:rPr>
        </w:r>
        <w:r>
          <w:rPr>
            <w:noProof/>
            <w:webHidden/>
          </w:rPr>
          <w:fldChar w:fldCharType="separate"/>
        </w:r>
        <w:r w:rsidR="00D268D2">
          <w:rPr>
            <w:noProof/>
            <w:webHidden/>
          </w:rPr>
          <w:t>46</w:t>
        </w:r>
        <w:r>
          <w:rPr>
            <w:noProof/>
            <w:webHidden/>
          </w:rPr>
          <w:fldChar w:fldCharType="end"/>
        </w:r>
      </w:hyperlink>
    </w:p>
    <w:p w14:paraId="3CBA0C75" w14:textId="3B89D903" w:rsidR="00BD7B89" w:rsidRDefault="00BD7B89">
      <w:pPr>
        <w:pStyle w:val="31"/>
        <w:rPr>
          <w:rFonts w:ascii="Calibri" w:hAnsi="Calibri"/>
          <w:kern w:val="2"/>
        </w:rPr>
      </w:pPr>
      <w:hyperlink w:anchor="_Toc194558759" w:history="1">
        <w:r w:rsidRPr="00EB6147">
          <w:rPr>
            <w:rStyle w:val="a3"/>
          </w:rPr>
          <w:t>Бывший пилот Юрий Яшин развеял миф о высоких пенсиях лётчиков, показав скрин выплат в своём Telegram-канале. Бывший сотрудник "Уральских авиалиний" и S7 Airlines вышел на досрочную пенсию весной этого года после 25 лет работы в авиации и 6300 часов налёта. Однако даже такой стаж не обеспечил ему достойных выплат.</w:t>
        </w:r>
        <w:r>
          <w:rPr>
            <w:webHidden/>
          </w:rPr>
          <w:tab/>
        </w:r>
        <w:r>
          <w:rPr>
            <w:webHidden/>
          </w:rPr>
          <w:fldChar w:fldCharType="begin"/>
        </w:r>
        <w:r>
          <w:rPr>
            <w:webHidden/>
          </w:rPr>
          <w:instrText xml:space="preserve"> PAGEREF _Toc194558759 \h </w:instrText>
        </w:r>
        <w:r>
          <w:rPr>
            <w:webHidden/>
          </w:rPr>
        </w:r>
        <w:r>
          <w:rPr>
            <w:webHidden/>
          </w:rPr>
          <w:fldChar w:fldCharType="separate"/>
        </w:r>
        <w:r w:rsidR="00D268D2">
          <w:rPr>
            <w:webHidden/>
          </w:rPr>
          <w:t>46</w:t>
        </w:r>
        <w:r>
          <w:rPr>
            <w:webHidden/>
          </w:rPr>
          <w:fldChar w:fldCharType="end"/>
        </w:r>
      </w:hyperlink>
    </w:p>
    <w:p w14:paraId="487CC550" w14:textId="52C36462" w:rsidR="00BD7B89" w:rsidRDefault="00BD7B89">
      <w:pPr>
        <w:pStyle w:val="12"/>
        <w:tabs>
          <w:tab w:val="right" w:leader="dot" w:pos="9061"/>
        </w:tabs>
        <w:rPr>
          <w:rFonts w:ascii="Calibri" w:hAnsi="Calibri"/>
          <w:b w:val="0"/>
          <w:noProof/>
          <w:kern w:val="2"/>
          <w:sz w:val="24"/>
        </w:rPr>
      </w:pPr>
      <w:hyperlink w:anchor="_Toc194558760" w:history="1">
        <w:r w:rsidRPr="00EB6147">
          <w:rPr>
            <w:rStyle w:val="a3"/>
            <w:noProof/>
          </w:rPr>
          <w:t>НОВОСТИ МАКРОЭКОНОМИКИ</w:t>
        </w:r>
        <w:r>
          <w:rPr>
            <w:noProof/>
            <w:webHidden/>
          </w:rPr>
          <w:tab/>
        </w:r>
        <w:r>
          <w:rPr>
            <w:noProof/>
            <w:webHidden/>
          </w:rPr>
          <w:fldChar w:fldCharType="begin"/>
        </w:r>
        <w:r>
          <w:rPr>
            <w:noProof/>
            <w:webHidden/>
          </w:rPr>
          <w:instrText xml:space="preserve"> PAGEREF _Toc194558760 \h </w:instrText>
        </w:r>
        <w:r>
          <w:rPr>
            <w:noProof/>
            <w:webHidden/>
          </w:rPr>
        </w:r>
        <w:r>
          <w:rPr>
            <w:noProof/>
            <w:webHidden/>
          </w:rPr>
          <w:fldChar w:fldCharType="separate"/>
        </w:r>
        <w:r w:rsidR="00D268D2">
          <w:rPr>
            <w:noProof/>
            <w:webHidden/>
          </w:rPr>
          <w:t>47</w:t>
        </w:r>
        <w:r>
          <w:rPr>
            <w:noProof/>
            <w:webHidden/>
          </w:rPr>
          <w:fldChar w:fldCharType="end"/>
        </w:r>
      </w:hyperlink>
    </w:p>
    <w:p w14:paraId="75AA5B9C" w14:textId="649D939B" w:rsidR="00BD7B89" w:rsidRDefault="00BD7B89">
      <w:pPr>
        <w:pStyle w:val="21"/>
        <w:tabs>
          <w:tab w:val="right" w:leader="dot" w:pos="9061"/>
        </w:tabs>
        <w:rPr>
          <w:rFonts w:ascii="Calibri" w:hAnsi="Calibri"/>
          <w:noProof/>
          <w:kern w:val="2"/>
        </w:rPr>
      </w:pPr>
      <w:hyperlink w:anchor="_Toc194558761" w:history="1">
        <w:r w:rsidRPr="00EB6147">
          <w:rPr>
            <w:rStyle w:val="a3"/>
            <w:noProof/>
          </w:rPr>
          <w:t>Ведомости, 02.04.2025, Путин поручил кабмину и ЦБ создать единый подход к борьбе с кибермошенниками</w:t>
        </w:r>
        <w:r>
          <w:rPr>
            <w:noProof/>
            <w:webHidden/>
          </w:rPr>
          <w:tab/>
        </w:r>
        <w:r>
          <w:rPr>
            <w:noProof/>
            <w:webHidden/>
          </w:rPr>
          <w:fldChar w:fldCharType="begin"/>
        </w:r>
        <w:r>
          <w:rPr>
            <w:noProof/>
            <w:webHidden/>
          </w:rPr>
          <w:instrText xml:space="preserve"> PAGEREF _Toc194558761 \h </w:instrText>
        </w:r>
        <w:r>
          <w:rPr>
            <w:noProof/>
            <w:webHidden/>
          </w:rPr>
        </w:r>
        <w:r>
          <w:rPr>
            <w:noProof/>
            <w:webHidden/>
          </w:rPr>
          <w:fldChar w:fldCharType="separate"/>
        </w:r>
        <w:r w:rsidR="00D268D2">
          <w:rPr>
            <w:noProof/>
            <w:webHidden/>
          </w:rPr>
          <w:t>47</w:t>
        </w:r>
        <w:r>
          <w:rPr>
            <w:noProof/>
            <w:webHidden/>
          </w:rPr>
          <w:fldChar w:fldCharType="end"/>
        </w:r>
      </w:hyperlink>
    </w:p>
    <w:p w14:paraId="23896FCD" w14:textId="57F4697B" w:rsidR="00BD7B89" w:rsidRDefault="00BD7B89">
      <w:pPr>
        <w:pStyle w:val="31"/>
        <w:rPr>
          <w:rFonts w:ascii="Calibri" w:hAnsi="Calibri"/>
          <w:kern w:val="2"/>
        </w:rPr>
      </w:pPr>
      <w:hyperlink w:anchor="_Toc194558762" w:history="1">
        <w:r w:rsidRPr="00EB6147">
          <w:rPr>
            <w:rStyle w:val="a3"/>
          </w:rPr>
          <w:t>Президент России Владимир Путин поручил правительству и Банку России разработать единый системный подход к борьбе с мошенниками, использующим современные технологии. В частности, им нужно рассмотреть вопрос о дополнительном ограничении количества и периода действия платежных карт, которые банки выдают клиентам, в том числе иностранцам. Утвержденный главой государства перечень поручений по итогам совещания с членами правительства, прошедшего 5 марта, опубликован на сайте Кремля.</w:t>
        </w:r>
        <w:r>
          <w:rPr>
            <w:webHidden/>
          </w:rPr>
          <w:tab/>
        </w:r>
        <w:r>
          <w:rPr>
            <w:webHidden/>
          </w:rPr>
          <w:fldChar w:fldCharType="begin"/>
        </w:r>
        <w:r>
          <w:rPr>
            <w:webHidden/>
          </w:rPr>
          <w:instrText xml:space="preserve"> PAGEREF _Toc194558762 \h </w:instrText>
        </w:r>
        <w:r>
          <w:rPr>
            <w:webHidden/>
          </w:rPr>
        </w:r>
        <w:r>
          <w:rPr>
            <w:webHidden/>
          </w:rPr>
          <w:fldChar w:fldCharType="separate"/>
        </w:r>
        <w:r w:rsidR="00D268D2">
          <w:rPr>
            <w:webHidden/>
          </w:rPr>
          <w:t>47</w:t>
        </w:r>
        <w:r>
          <w:rPr>
            <w:webHidden/>
          </w:rPr>
          <w:fldChar w:fldCharType="end"/>
        </w:r>
      </w:hyperlink>
    </w:p>
    <w:p w14:paraId="6A92D653" w14:textId="713AA39E" w:rsidR="00BD7B89" w:rsidRDefault="00BD7B89">
      <w:pPr>
        <w:pStyle w:val="21"/>
        <w:tabs>
          <w:tab w:val="right" w:leader="dot" w:pos="9061"/>
        </w:tabs>
        <w:rPr>
          <w:rFonts w:ascii="Calibri" w:hAnsi="Calibri"/>
          <w:noProof/>
          <w:kern w:val="2"/>
        </w:rPr>
      </w:pPr>
      <w:hyperlink w:anchor="_Toc194558763" w:history="1">
        <w:r w:rsidRPr="00EB6147">
          <w:rPr>
            <w:rStyle w:val="a3"/>
            <w:noProof/>
          </w:rPr>
          <w:t>РИА Новости, 02.04.2025, Путин поручил кабмину и ЦБ оценить эффективность мероприятий по цифровой грамотности</w:t>
        </w:r>
        <w:r>
          <w:rPr>
            <w:noProof/>
            <w:webHidden/>
          </w:rPr>
          <w:tab/>
        </w:r>
        <w:r>
          <w:rPr>
            <w:noProof/>
            <w:webHidden/>
          </w:rPr>
          <w:fldChar w:fldCharType="begin"/>
        </w:r>
        <w:r>
          <w:rPr>
            <w:noProof/>
            <w:webHidden/>
          </w:rPr>
          <w:instrText xml:space="preserve"> PAGEREF _Toc194558763 \h </w:instrText>
        </w:r>
        <w:r>
          <w:rPr>
            <w:noProof/>
            <w:webHidden/>
          </w:rPr>
        </w:r>
        <w:r>
          <w:rPr>
            <w:noProof/>
            <w:webHidden/>
          </w:rPr>
          <w:fldChar w:fldCharType="separate"/>
        </w:r>
        <w:r w:rsidR="00D268D2">
          <w:rPr>
            <w:noProof/>
            <w:webHidden/>
          </w:rPr>
          <w:t>48</w:t>
        </w:r>
        <w:r>
          <w:rPr>
            <w:noProof/>
            <w:webHidden/>
          </w:rPr>
          <w:fldChar w:fldCharType="end"/>
        </w:r>
      </w:hyperlink>
    </w:p>
    <w:p w14:paraId="1E35199A" w14:textId="34D6B887" w:rsidR="00BD7B89" w:rsidRDefault="00BD7B89">
      <w:pPr>
        <w:pStyle w:val="31"/>
        <w:rPr>
          <w:rFonts w:ascii="Calibri" w:hAnsi="Calibri"/>
          <w:kern w:val="2"/>
        </w:rPr>
      </w:pPr>
      <w:hyperlink w:anchor="_Toc194558764" w:history="1">
        <w:r w:rsidRPr="00EB6147">
          <w:rPr>
            <w:rStyle w:val="a3"/>
          </w:rPr>
          <w:t>Президент России Владимир Путин поручил правительству и Банку России оценить эффективность проводимых в стране мероприятий по цифровой грамотности населения и предложить меры по ее повышению, в том числе среди школьников и пенсионеров.</w:t>
        </w:r>
        <w:r>
          <w:rPr>
            <w:webHidden/>
          </w:rPr>
          <w:tab/>
        </w:r>
        <w:r>
          <w:rPr>
            <w:webHidden/>
          </w:rPr>
          <w:fldChar w:fldCharType="begin"/>
        </w:r>
        <w:r>
          <w:rPr>
            <w:webHidden/>
          </w:rPr>
          <w:instrText xml:space="preserve"> PAGEREF _Toc194558764 \h </w:instrText>
        </w:r>
        <w:r>
          <w:rPr>
            <w:webHidden/>
          </w:rPr>
        </w:r>
        <w:r>
          <w:rPr>
            <w:webHidden/>
          </w:rPr>
          <w:fldChar w:fldCharType="separate"/>
        </w:r>
        <w:r w:rsidR="00D268D2">
          <w:rPr>
            <w:webHidden/>
          </w:rPr>
          <w:t>48</w:t>
        </w:r>
        <w:r>
          <w:rPr>
            <w:webHidden/>
          </w:rPr>
          <w:fldChar w:fldCharType="end"/>
        </w:r>
      </w:hyperlink>
    </w:p>
    <w:p w14:paraId="7623EE8D" w14:textId="27AB0205" w:rsidR="00BD7B89" w:rsidRDefault="00BD7B89">
      <w:pPr>
        <w:pStyle w:val="21"/>
        <w:tabs>
          <w:tab w:val="right" w:leader="dot" w:pos="9061"/>
        </w:tabs>
        <w:rPr>
          <w:rFonts w:ascii="Calibri" w:hAnsi="Calibri"/>
          <w:noProof/>
          <w:kern w:val="2"/>
        </w:rPr>
      </w:pPr>
      <w:hyperlink w:anchor="_Toc194558765" w:history="1">
        <w:r w:rsidRPr="00EB6147">
          <w:rPr>
            <w:rStyle w:val="a3"/>
            <w:noProof/>
          </w:rPr>
          <w:t>РИА Новости, 02.04.2025, Объем ФНБ за март снизился на 129,88 млрд руб, до 11,751 трлн руб - Минфин РФ</w:t>
        </w:r>
        <w:r>
          <w:rPr>
            <w:noProof/>
            <w:webHidden/>
          </w:rPr>
          <w:tab/>
        </w:r>
        <w:r>
          <w:rPr>
            <w:noProof/>
            <w:webHidden/>
          </w:rPr>
          <w:fldChar w:fldCharType="begin"/>
        </w:r>
        <w:r>
          <w:rPr>
            <w:noProof/>
            <w:webHidden/>
          </w:rPr>
          <w:instrText xml:space="preserve"> PAGEREF _Toc194558765 \h </w:instrText>
        </w:r>
        <w:r>
          <w:rPr>
            <w:noProof/>
            <w:webHidden/>
          </w:rPr>
        </w:r>
        <w:r>
          <w:rPr>
            <w:noProof/>
            <w:webHidden/>
          </w:rPr>
          <w:fldChar w:fldCharType="separate"/>
        </w:r>
        <w:r w:rsidR="00D268D2">
          <w:rPr>
            <w:noProof/>
            <w:webHidden/>
          </w:rPr>
          <w:t>49</w:t>
        </w:r>
        <w:r>
          <w:rPr>
            <w:noProof/>
            <w:webHidden/>
          </w:rPr>
          <w:fldChar w:fldCharType="end"/>
        </w:r>
      </w:hyperlink>
    </w:p>
    <w:p w14:paraId="5B838D9C" w14:textId="54778923" w:rsidR="00BD7B89" w:rsidRDefault="00BD7B89">
      <w:pPr>
        <w:pStyle w:val="31"/>
        <w:rPr>
          <w:rFonts w:ascii="Calibri" w:hAnsi="Calibri"/>
          <w:kern w:val="2"/>
        </w:rPr>
      </w:pPr>
      <w:hyperlink w:anchor="_Toc194558766" w:history="1">
        <w:r w:rsidRPr="00EB6147">
          <w:rPr>
            <w:rStyle w:val="a3"/>
          </w:rPr>
          <w:t>Объем Фонда национального благосостояния (ФНБ) за март снизился на 129,88 миллиарда рублей, до 11,751 триллиона рублей, а в долларах вырос на 4,949 миллиарда, до 140,422 миллиарда долларов, следует из материалов на сайте Минфина России.</w:t>
        </w:r>
        <w:r>
          <w:rPr>
            <w:webHidden/>
          </w:rPr>
          <w:tab/>
        </w:r>
        <w:r>
          <w:rPr>
            <w:webHidden/>
          </w:rPr>
          <w:fldChar w:fldCharType="begin"/>
        </w:r>
        <w:r>
          <w:rPr>
            <w:webHidden/>
          </w:rPr>
          <w:instrText xml:space="preserve"> PAGEREF _Toc194558766 \h </w:instrText>
        </w:r>
        <w:r>
          <w:rPr>
            <w:webHidden/>
          </w:rPr>
        </w:r>
        <w:r>
          <w:rPr>
            <w:webHidden/>
          </w:rPr>
          <w:fldChar w:fldCharType="separate"/>
        </w:r>
        <w:r w:rsidR="00D268D2">
          <w:rPr>
            <w:webHidden/>
          </w:rPr>
          <w:t>49</w:t>
        </w:r>
        <w:r>
          <w:rPr>
            <w:webHidden/>
          </w:rPr>
          <w:fldChar w:fldCharType="end"/>
        </w:r>
      </w:hyperlink>
    </w:p>
    <w:p w14:paraId="60DC7336" w14:textId="6BB14652" w:rsidR="00BD7B89" w:rsidRDefault="00BD7B89">
      <w:pPr>
        <w:pStyle w:val="21"/>
        <w:tabs>
          <w:tab w:val="right" w:leader="dot" w:pos="9061"/>
        </w:tabs>
        <w:rPr>
          <w:rFonts w:ascii="Calibri" w:hAnsi="Calibri"/>
          <w:noProof/>
          <w:kern w:val="2"/>
        </w:rPr>
      </w:pPr>
      <w:hyperlink w:anchor="_Toc194558767" w:history="1">
        <w:r w:rsidRPr="00EB6147">
          <w:rPr>
            <w:rStyle w:val="a3"/>
            <w:noProof/>
          </w:rPr>
          <w:t>РИА Новости, 02.04.2025, Инфляция в России на 31 марта составила 10,24% в годовом выражении - Минэкономразвития</w:t>
        </w:r>
        <w:r>
          <w:rPr>
            <w:noProof/>
            <w:webHidden/>
          </w:rPr>
          <w:tab/>
        </w:r>
        <w:r>
          <w:rPr>
            <w:noProof/>
            <w:webHidden/>
          </w:rPr>
          <w:fldChar w:fldCharType="begin"/>
        </w:r>
        <w:r>
          <w:rPr>
            <w:noProof/>
            <w:webHidden/>
          </w:rPr>
          <w:instrText xml:space="preserve"> PAGEREF _Toc194558767 \h </w:instrText>
        </w:r>
        <w:r>
          <w:rPr>
            <w:noProof/>
            <w:webHidden/>
          </w:rPr>
        </w:r>
        <w:r>
          <w:rPr>
            <w:noProof/>
            <w:webHidden/>
          </w:rPr>
          <w:fldChar w:fldCharType="separate"/>
        </w:r>
        <w:r w:rsidR="00D268D2">
          <w:rPr>
            <w:noProof/>
            <w:webHidden/>
          </w:rPr>
          <w:t>50</w:t>
        </w:r>
        <w:r>
          <w:rPr>
            <w:noProof/>
            <w:webHidden/>
          </w:rPr>
          <w:fldChar w:fldCharType="end"/>
        </w:r>
      </w:hyperlink>
    </w:p>
    <w:p w14:paraId="043CBAC8" w14:textId="5BDA2B3F" w:rsidR="00BD7B89" w:rsidRDefault="00BD7B89">
      <w:pPr>
        <w:pStyle w:val="31"/>
        <w:rPr>
          <w:rFonts w:ascii="Calibri" w:hAnsi="Calibri"/>
          <w:kern w:val="2"/>
        </w:rPr>
      </w:pPr>
      <w:hyperlink w:anchor="_Toc194558768" w:history="1">
        <w:r w:rsidRPr="00EB6147">
          <w:rPr>
            <w:rStyle w:val="a3"/>
          </w:rPr>
          <w:t>Инфляция в России на 31 марта составила 10,24% в годовом выражении после 10,11% неделей ранее, следует из доклада Минэкономразвития "О текущей ценовой ситуации".</w:t>
        </w:r>
        <w:r>
          <w:rPr>
            <w:webHidden/>
          </w:rPr>
          <w:tab/>
        </w:r>
        <w:r>
          <w:rPr>
            <w:webHidden/>
          </w:rPr>
          <w:fldChar w:fldCharType="begin"/>
        </w:r>
        <w:r>
          <w:rPr>
            <w:webHidden/>
          </w:rPr>
          <w:instrText xml:space="preserve"> PAGEREF _Toc194558768 \h </w:instrText>
        </w:r>
        <w:r>
          <w:rPr>
            <w:webHidden/>
          </w:rPr>
        </w:r>
        <w:r>
          <w:rPr>
            <w:webHidden/>
          </w:rPr>
          <w:fldChar w:fldCharType="separate"/>
        </w:r>
        <w:r w:rsidR="00D268D2">
          <w:rPr>
            <w:webHidden/>
          </w:rPr>
          <w:t>50</w:t>
        </w:r>
        <w:r>
          <w:rPr>
            <w:webHidden/>
          </w:rPr>
          <w:fldChar w:fldCharType="end"/>
        </w:r>
      </w:hyperlink>
    </w:p>
    <w:p w14:paraId="28D64E2B" w14:textId="06343727" w:rsidR="00BD7B89" w:rsidRDefault="00BD7B89">
      <w:pPr>
        <w:pStyle w:val="21"/>
        <w:tabs>
          <w:tab w:val="right" w:leader="dot" w:pos="9061"/>
        </w:tabs>
        <w:rPr>
          <w:rFonts w:ascii="Calibri" w:hAnsi="Calibri"/>
          <w:noProof/>
          <w:kern w:val="2"/>
        </w:rPr>
      </w:pPr>
      <w:hyperlink w:anchor="_Toc194558769" w:history="1">
        <w:r w:rsidRPr="00EB6147">
          <w:rPr>
            <w:rStyle w:val="a3"/>
            <w:noProof/>
          </w:rPr>
          <w:t>РИА Новости, 02.04.2025, Инфраструктура финансового рынка в РФ готова для выхода госкомпаний на биржу - зампред ЦБ</w:t>
        </w:r>
        <w:r>
          <w:rPr>
            <w:noProof/>
            <w:webHidden/>
          </w:rPr>
          <w:tab/>
        </w:r>
        <w:r>
          <w:rPr>
            <w:noProof/>
            <w:webHidden/>
          </w:rPr>
          <w:fldChar w:fldCharType="begin"/>
        </w:r>
        <w:r>
          <w:rPr>
            <w:noProof/>
            <w:webHidden/>
          </w:rPr>
          <w:instrText xml:space="preserve"> PAGEREF _Toc194558769 \h </w:instrText>
        </w:r>
        <w:r>
          <w:rPr>
            <w:noProof/>
            <w:webHidden/>
          </w:rPr>
        </w:r>
        <w:r>
          <w:rPr>
            <w:noProof/>
            <w:webHidden/>
          </w:rPr>
          <w:fldChar w:fldCharType="separate"/>
        </w:r>
        <w:r w:rsidR="00D268D2">
          <w:rPr>
            <w:noProof/>
            <w:webHidden/>
          </w:rPr>
          <w:t>50</w:t>
        </w:r>
        <w:r>
          <w:rPr>
            <w:noProof/>
            <w:webHidden/>
          </w:rPr>
          <w:fldChar w:fldCharType="end"/>
        </w:r>
      </w:hyperlink>
    </w:p>
    <w:p w14:paraId="40819459" w14:textId="249FEAD1" w:rsidR="00BD7B89" w:rsidRDefault="00BD7B89">
      <w:pPr>
        <w:pStyle w:val="31"/>
        <w:rPr>
          <w:rFonts w:ascii="Calibri" w:hAnsi="Calibri"/>
          <w:kern w:val="2"/>
        </w:rPr>
      </w:pPr>
      <w:hyperlink w:anchor="_Toc194558770" w:history="1">
        <w:r w:rsidRPr="00EB6147">
          <w:rPr>
            <w:rStyle w:val="a3"/>
          </w:rPr>
          <w:t>Инфраструктура финансового рынка в России готова для выхода на биржу государственных компаний, заявил заместитель председателя Банка России Филипп Габуния в Госдуме.</w:t>
        </w:r>
        <w:r>
          <w:rPr>
            <w:webHidden/>
          </w:rPr>
          <w:tab/>
        </w:r>
        <w:r>
          <w:rPr>
            <w:webHidden/>
          </w:rPr>
          <w:fldChar w:fldCharType="begin"/>
        </w:r>
        <w:r>
          <w:rPr>
            <w:webHidden/>
          </w:rPr>
          <w:instrText xml:space="preserve"> PAGEREF _Toc194558770 \h </w:instrText>
        </w:r>
        <w:r>
          <w:rPr>
            <w:webHidden/>
          </w:rPr>
        </w:r>
        <w:r>
          <w:rPr>
            <w:webHidden/>
          </w:rPr>
          <w:fldChar w:fldCharType="separate"/>
        </w:r>
        <w:r w:rsidR="00D268D2">
          <w:rPr>
            <w:webHidden/>
          </w:rPr>
          <w:t>50</w:t>
        </w:r>
        <w:r>
          <w:rPr>
            <w:webHidden/>
          </w:rPr>
          <w:fldChar w:fldCharType="end"/>
        </w:r>
      </w:hyperlink>
    </w:p>
    <w:p w14:paraId="4624F42C" w14:textId="6BBE19DA" w:rsidR="00BD7B89" w:rsidRDefault="00BD7B89">
      <w:pPr>
        <w:pStyle w:val="21"/>
        <w:tabs>
          <w:tab w:val="right" w:leader="dot" w:pos="9061"/>
        </w:tabs>
        <w:rPr>
          <w:rFonts w:ascii="Calibri" w:hAnsi="Calibri"/>
          <w:noProof/>
          <w:kern w:val="2"/>
        </w:rPr>
      </w:pPr>
      <w:hyperlink w:anchor="_Toc194558771" w:history="1">
        <w:r w:rsidRPr="00EB6147">
          <w:rPr>
            <w:rStyle w:val="a3"/>
            <w:noProof/>
          </w:rPr>
          <w:t>РИА Новости, 02.04.2025, Динамика I квартала говорит, что инфляция в РФ складывается ниже февральского прогноза ЦБ</w:t>
        </w:r>
        <w:r>
          <w:rPr>
            <w:noProof/>
            <w:webHidden/>
          </w:rPr>
          <w:tab/>
        </w:r>
        <w:r>
          <w:rPr>
            <w:noProof/>
            <w:webHidden/>
          </w:rPr>
          <w:fldChar w:fldCharType="begin"/>
        </w:r>
        <w:r>
          <w:rPr>
            <w:noProof/>
            <w:webHidden/>
          </w:rPr>
          <w:instrText xml:space="preserve"> PAGEREF _Toc194558771 \h </w:instrText>
        </w:r>
        <w:r>
          <w:rPr>
            <w:noProof/>
            <w:webHidden/>
          </w:rPr>
        </w:r>
        <w:r>
          <w:rPr>
            <w:noProof/>
            <w:webHidden/>
          </w:rPr>
          <w:fldChar w:fldCharType="separate"/>
        </w:r>
        <w:r w:rsidR="00D268D2">
          <w:rPr>
            <w:noProof/>
            <w:webHidden/>
          </w:rPr>
          <w:t>51</w:t>
        </w:r>
        <w:r>
          <w:rPr>
            <w:noProof/>
            <w:webHidden/>
          </w:rPr>
          <w:fldChar w:fldCharType="end"/>
        </w:r>
      </w:hyperlink>
    </w:p>
    <w:p w14:paraId="12B80DA9" w14:textId="58E3055A" w:rsidR="00BD7B89" w:rsidRDefault="00BD7B89">
      <w:pPr>
        <w:pStyle w:val="31"/>
        <w:rPr>
          <w:rFonts w:ascii="Calibri" w:hAnsi="Calibri"/>
          <w:kern w:val="2"/>
        </w:rPr>
      </w:pPr>
      <w:hyperlink w:anchor="_Toc194558772" w:history="1">
        <w:r w:rsidRPr="00EB6147">
          <w:rPr>
            <w:rStyle w:val="a3"/>
          </w:rPr>
          <w:t>Исходя из динамики первого квартала можно говорить, что инфляция в РФ, по предварительным данным, складывается лучше февральского прогноза Банка России, сообщил зампред регулятора Алексей Заботкин.</w:t>
        </w:r>
        <w:r>
          <w:rPr>
            <w:webHidden/>
          </w:rPr>
          <w:tab/>
        </w:r>
        <w:r>
          <w:rPr>
            <w:webHidden/>
          </w:rPr>
          <w:fldChar w:fldCharType="begin"/>
        </w:r>
        <w:r>
          <w:rPr>
            <w:webHidden/>
          </w:rPr>
          <w:instrText xml:space="preserve"> PAGEREF _Toc194558772 \h </w:instrText>
        </w:r>
        <w:r>
          <w:rPr>
            <w:webHidden/>
          </w:rPr>
        </w:r>
        <w:r>
          <w:rPr>
            <w:webHidden/>
          </w:rPr>
          <w:fldChar w:fldCharType="separate"/>
        </w:r>
        <w:r w:rsidR="00D268D2">
          <w:rPr>
            <w:webHidden/>
          </w:rPr>
          <w:t>51</w:t>
        </w:r>
        <w:r>
          <w:rPr>
            <w:webHidden/>
          </w:rPr>
          <w:fldChar w:fldCharType="end"/>
        </w:r>
      </w:hyperlink>
    </w:p>
    <w:p w14:paraId="39F0BF6C" w14:textId="7CB700D1" w:rsidR="00BD7B89" w:rsidRDefault="00BD7B89">
      <w:pPr>
        <w:pStyle w:val="21"/>
        <w:tabs>
          <w:tab w:val="right" w:leader="dot" w:pos="9061"/>
        </w:tabs>
        <w:rPr>
          <w:rFonts w:ascii="Calibri" w:hAnsi="Calibri"/>
          <w:noProof/>
          <w:kern w:val="2"/>
        </w:rPr>
      </w:pPr>
      <w:hyperlink w:anchor="_Toc194558773" w:history="1">
        <w:r w:rsidRPr="00EB6147">
          <w:rPr>
            <w:rStyle w:val="a3"/>
            <w:noProof/>
          </w:rPr>
          <w:t>РИА Новости, 02.04.2025, ЦБ РФ не исключает повышения ставки, если инфляция будет снижаться медленнее прогноза</w:t>
        </w:r>
        <w:r>
          <w:rPr>
            <w:noProof/>
            <w:webHidden/>
          </w:rPr>
          <w:tab/>
        </w:r>
        <w:r>
          <w:rPr>
            <w:noProof/>
            <w:webHidden/>
          </w:rPr>
          <w:fldChar w:fldCharType="begin"/>
        </w:r>
        <w:r>
          <w:rPr>
            <w:noProof/>
            <w:webHidden/>
          </w:rPr>
          <w:instrText xml:space="preserve"> PAGEREF _Toc194558773 \h </w:instrText>
        </w:r>
        <w:r>
          <w:rPr>
            <w:noProof/>
            <w:webHidden/>
          </w:rPr>
        </w:r>
        <w:r>
          <w:rPr>
            <w:noProof/>
            <w:webHidden/>
          </w:rPr>
          <w:fldChar w:fldCharType="separate"/>
        </w:r>
        <w:r w:rsidR="00D268D2">
          <w:rPr>
            <w:noProof/>
            <w:webHidden/>
          </w:rPr>
          <w:t>51</w:t>
        </w:r>
        <w:r>
          <w:rPr>
            <w:noProof/>
            <w:webHidden/>
          </w:rPr>
          <w:fldChar w:fldCharType="end"/>
        </w:r>
      </w:hyperlink>
    </w:p>
    <w:p w14:paraId="63EC6075" w14:textId="14E9CF08" w:rsidR="00BD7B89" w:rsidRDefault="00BD7B89">
      <w:pPr>
        <w:pStyle w:val="31"/>
        <w:rPr>
          <w:rFonts w:ascii="Calibri" w:hAnsi="Calibri"/>
          <w:kern w:val="2"/>
        </w:rPr>
      </w:pPr>
      <w:hyperlink w:anchor="_Toc194558774" w:history="1">
        <w:r w:rsidRPr="00EB6147">
          <w:rPr>
            <w:rStyle w:val="a3"/>
          </w:rPr>
          <w:t>Банк России не исключает дальнейшего повышения ключевой ставки, если траектория снижения инфляции будет выше прогнозной, заявил журналистам зампред ЦБ Алексей Заботкин.</w:t>
        </w:r>
        <w:r>
          <w:rPr>
            <w:webHidden/>
          </w:rPr>
          <w:tab/>
        </w:r>
        <w:r>
          <w:rPr>
            <w:webHidden/>
          </w:rPr>
          <w:fldChar w:fldCharType="begin"/>
        </w:r>
        <w:r>
          <w:rPr>
            <w:webHidden/>
          </w:rPr>
          <w:instrText xml:space="preserve"> PAGEREF _Toc194558774 \h </w:instrText>
        </w:r>
        <w:r>
          <w:rPr>
            <w:webHidden/>
          </w:rPr>
        </w:r>
        <w:r>
          <w:rPr>
            <w:webHidden/>
          </w:rPr>
          <w:fldChar w:fldCharType="separate"/>
        </w:r>
        <w:r w:rsidR="00D268D2">
          <w:rPr>
            <w:webHidden/>
          </w:rPr>
          <w:t>51</w:t>
        </w:r>
        <w:r>
          <w:rPr>
            <w:webHidden/>
          </w:rPr>
          <w:fldChar w:fldCharType="end"/>
        </w:r>
      </w:hyperlink>
    </w:p>
    <w:p w14:paraId="7E3D5A9E" w14:textId="7B19E61B" w:rsidR="00BD7B89" w:rsidRDefault="00BD7B89">
      <w:pPr>
        <w:pStyle w:val="21"/>
        <w:tabs>
          <w:tab w:val="right" w:leader="dot" w:pos="9061"/>
        </w:tabs>
        <w:rPr>
          <w:rFonts w:ascii="Calibri" w:hAnsi="Calibri"/>
          <w:noProof/>
          <w:kern w:val="2"/>
        </w:rPr>
      </w:pPr>
      <w:hyperlink w:anchor="_Toc194558775" w:history="1">
        <w:r w:rsidRPr="00EB6147">
          <w:rPr>
            <w:rStyle w:val="a3"/>
            <w:noProof/>
          </w:rPr>
          <w:t>РИА Новости, 02.04.2025, ЦБ при любой ситуации должен добиваться возвращения инфляции к цели в 2026 г - регулятор</w:t>
        </w:r>
        <w:r>
          <w:rPr>
            <w:noProof/>
            <w:webHidden/>
          </w:rPr>
          <w:tab/>
        </w:r>
        <w:r>
          <w:rPr>
            <w:noProof/>
            <w:webHidden/>
          </w:rPr>
          <w:fldChar w:fldCharType="begin"/>
        </w:r>
        <w:r>
          <w:rPr>
            <w:noProof/>
            <w:webHidden/>
          </w:rPr>
          <w:instrText xml:space="preserve"> PAGEREF _Toc194558775 \h </w:instrText>
        </w:r>
        <w:r>
          <w:rPr>
            <w:noProof/>
            <w:webHidden/>
          </w:rPr>
        </w:r>
        <w:r>
          <w:rPr>
            <w:noProof/>
            <w:webHidden/>
          </w:rPr>
          <w:fldChar w:fldCharType="separate"/>
        </w:r>
        <w:r w:rsidR="00D268D2">
          <w:rPr>
            <w:noProof/>
            <w:webHidden/>
          </w:rPr>
          <w:t>52</w:t>
        </w:r>
        <w:r>
          <w:rPr>
            <w:noProof/>
            <w:webHidden/>
          </w:rPr>
          <w:fldChar w:fldCharType="end"/>
        </w:r>
      </w:hyperlink>
    </w:p>
    <w:p w14:paraId="12CA51BE" w14:textId="55A37402" w:rsidR="00BD7B89" w:rsidRDefault="00BD7B89">
      <w:pPr>
        <w:pStyle w:val="31"/>
        <w:rPr>
          <w:rFonts w:ascii="Calibri" w:hAnsi="Calibri"/>
          <w:kern w:val="2"/>
        </w:rPr>
      </w:pPr>
      <w:hyperlink w:anchor="_Toc194558776" w:history="1">
        <w:r w:rsidRPr="00EB6147">
          <w:rPr>
            <w:rStyle w:val="a3"/>
          </w:rPr>
          <w:t>Банк России должен добиваться возвращения инфляции к цели в 2026 году при любом развитии ситуации в экономике, говорится в резюме обсуждения ключевой ставки ЦБ.</w:t>
        </w:r>
        <w:r>
          <w:rPr>
            <w:webHidden/>
          </w:rPr>
          <w:tab/>
        </w:r>
        <w:r>
          <w:rPr>
            <w:webHidden/>
          </w:rPr>
          <w:fldChar w:fldCharType="begin"/>
        </w:r>
        <w:r>
          <w:rPr>
            <w:webHidden/>
          </w:rPr>
          <w:instrText xml:space="preserve"> PAGEREF _Toc194558776 \h </w:instrText>
        </w:r>
        <w:r>
          <w:rPr>
            <w:webHidden/>
          </w:rPr>
        </w:r>
        <w:r>
          <w:rPr>
            <w:webHidden/>
          </w:rPr>
          <w:fldChar w:fldCharType="separate"/>
        </w:r>
        <w:r w:rsidR="00D268D2">
          <w:rPr>
            <w:webHidden/>
          </w:rPr>
          <w:t>52</w:t>
        </w:r>
        <w:r>
          <w:rPr>
            <w:webHidden/>
          </w:rPr>
          <w:fldChar w:fldCharType="end"/>
        </w:r>
      </w:hyperlink>
    </w:p>
    <w:p w14:paraId="76AEA0B0" w14:textId="5B86EBD1" w:rsidR="00BD7B89" w:rsidRDefault="00BD7B89">
      <w:pPr>
        <w:pStyle w:val="21"/>
        <w:tabs>
          <w:tab w:val="right" w:leader="dot" w:pos="9061"/>
        </w:tabs>
        <w:rPr>
          <w:rFonts w:ascii="Calibri" w:hAnsi="Calibri"/>
          <w:noProof/>
          <w:kern w:val="2"/>
        </w:rPr>
      </w:pPr>
      <w:hyperlink w:anchor="_Toc194558777" w:history="1">
        <w:r w:rsidRPr="00EB6147">
          <w:rPr>
            <w:rStyle w:val="a3"/>
            <w:noProof/>
          </w:rPr>
          <w:t>РИА Новости, 02.04.2025, Говорить об устойчивом уменьшении перегрева экономики РФ пока рано - ЦБ</w:t>
        </w:r>
        <w:r>
          <w:rPr>
            <w:noProof/>
            <w:webHidden/>
          </w:rPr>
          <w:tab/>
        </w:r>
        <w:r>
          <w:rPr>
            <w:noProof/>
            <w:webHidden/>
          </w:rPr>
          <w:fldChar w:fldCharType="begin"/>
        </w:r>
        <w:r>
          <w:rPr>
            <w:noProof/>
            <w:webHidden/>
          </w:rPr>
          <w:instrText xml:space="preserve"> PAGEREF _Toc194558777 \h </w:instrText>
        </w:r>
        <w:r>
          <w:rPr>
            <w:noProof/>
            <w:webHidden/>
          </w:rPr>
        </w:r>
        <w:r>
          <w:rPr>
            <w:noProof/>
            <w:webHidden/>
          </w:rPr>
          <w:fldChar w:fldCharType="separate"/>
        </w:r>
        <w:r w:rsidR="00D268D2">
          <w:rPr>
            <w:noProof/>
            <w:webHidden/>
          </w:rPr>
          <w:t>52</w:t>
        </w:r>
        <w:r>
          <w:rPr>
            <w:noProof/>
            <w:webHidden/>
          </w:rPr>
          <w:fldChar w:fldCharType="end"/>
        </w:r>
      </w:hyperlink>
    </w:p>
    <w:p w14:paraId="245788C2" w14:textId="57CB7E71" w:rsidR="00BD7B89" w:rsidRDefault="00BD7B89">
      <w:pPr>
        <w:pStyle w:val="31"/>
        <w:rPr>
          <w:rFonts w:ascii="Calibri" w:hAnsi="Calibri"/>
          <w:kern w:val="2"/>
        </w:rPr>
      </w:pPr>
      <w:hyperlink w:anchor="_Toc194558778" w:history="1">
        <w:r w:rsidRPr="00EB6147">
          <w:rPr>
            <w:rStyle w:val="a3"/>
          </w:rPr>
          <w:t>Говорить об устойчивом уменьшении перегрева российской экономики пока преждевременно, отмечается в резюме обсуждения ключевой ставки ЦБ РФ.</w:t>
        </w:r>
        <w:r>
          <w:rPr>
            <w:webHidden/>
          </w:rPr>
          <w:tab/>
        </w:r>
        <w:r>
          <w:rPr>
            <w:webHidden/>
          </w:rPr>
          <w:fldChar w:fldCharType="begin"/>
        </w:r>
        <w:r>
          <w:rPr>
            <w:webHidden/>
          </w:rPr>
          <w:instrText xml:space="preserve"> PAGEREF _Toc194558778 \h </w:instrText>
        </w:r>
        <w:r>
          <w:rPr>
            <w:webHidden/>
          </w:rPr>
        </w:r>
        <w:r>
          <w:rPr>
            <w:webHidden/>
          </w:rPr>
          <w:fldChar w:fldCharType="separate"/>
        </w:r>
        <w:r w:rsidR="00D268D2">
          <w:rPr>
            <w:webHidden/>
          </w:rPr>
          <w:t>52</w:t>
        </w:r>
        <w:r>
          <w:rPr>
            <w:webHidden/>
          </w:rPr>
          <w:fldChar w:fldCharType="end"/>
        </w:r>
      </w:hyperlink>
    </w:p>
    <w:p w14:paraId="4D264807" w14:textId="0D939178" w:rsidR="00BD7B89" w:rsidRDefault="00BD7B89">
      <w:pPr>
        <w:pStyle w:val="21"/>
        <w:tabs>
          <w:tab w:val="right" w:leader="dot" w:pos="9061"/>
        </w:tabs>
        <w:rPr>
          <w:rFonts w:ascii="Calibri" w:hAnsi="Calibri"/>
          <w:noProof/>
          <w:kern w:val="2"/>
        </w:rPr>
      </w:pPr>
      <w:hyperlink w:anchor="_Toc194558779" w:history="1">
        <w:r w:rsidRPr="00EB6147">
          <w:rPr>
            <w:rStyle w:val="a3"/>
            <w:noProof/>
          </w:rPr>
          <w:t>ТАСС, 02.04.2025, Ольга Мямлина: для развития рынка ЦФА необходимо развивать налоговое регулирование</w:t>
        </w:r>
        <w:r>
          <w:rPr>
            <w:noProof/>
            <w:webHidden/>
          </w:rPr>
          <w:tab/>
        </w:r>
        <w:r>
          <w:rPr>
            <w:noProof/>
            <w:webHidden/>
          </w:rPr>
          <w:fldChar w:fldCharType="begin"/>
        </w:r>
        <w:r>
          <w:rPr>
            <w:noProof/>
            <w:webHidden/>
          </w:rPr>
          <w:instrText xml:space="preserve"> PAGEREF _Toc194558779 \h </w:instrText>
        </w:r>
        <w:r>
          <w:rPr>
            <w:noProof/>
            <w:webHidden/>
          </w:rPr>
        </w:r>
        <w:r>
          <w:rPr>
            <w:noProof/>
            <w:webHidden/>
          </w:rPr>
          <w:fldChar w:fldCharType="separate"/>
        </w:r>
        <w:r w:rsidR="00D268D2">
          <w:rPr>
            <w:noProof/>
            <w:webHidden/>
          </w:rPr>
          <w:t>53</w:t>
        </w:r>
        <w:r>
          <w:rPr>
            <w:noProof/>
            <w:webHidden/>
          </w:rPr>
          <w:fldChar w:fldCharType="end"/>
        </w:r>
      </w:hyperlink>
    </w:p>
    <w:p w14:paraId="50A60E4E" w14:textId="4DD6A7AD" w:rsidR="00BD7B89" w:rsidRDefault="00BD7B89">
      <w:pPr>
        <w:pStyle w:val="31"/>
        <w:rPr>
          <w:rFonts w:ascii="Calibri" w:hAnsi="Calibri"/>
          <w:kern w:val="2"/>
        </w:rPr>
      </w:pPr>
      <w:hyperlink w:anchor="_Toc194558780" w:history="1">
        <w:r w:rsidRPr="00EB6147">
          <w:rPr>
            <w:rStyle w:val="a3"/>
          </w:rPr>
          <w:t>Драйвером рынка цифровых финансовых активов (ЦФА) может стать развитие налогового регулирования. Такое мнение выразила заместитель председателя ПАО «Банк ПСБ» Ольга Мямлина в рамках VII финансового форума «Просто капитал», сообщила пресс-служба кредитной организации.</w:t>
        </w:r>
        <w:r>
          <w:rPr>
            <w:webHidden/>
          </w:rPr>
          <w:tab/>
        </w:r>
        <w:r>
          <w:rPr>
            <w:webHidden/>
          </w:rPr>
          <w:fldChar w:fldCharType="begin"/>
        </w:r>
        <w:r>
          <w:rPr>
            <w:webHidden/>
          </w:rPr>
          <w:instrText xml:space="preserve"> PAGEREF _Toc194558780 \h </w:instrText>
        </w:r>
        <w:r>
          <w:rPr>
            <w:webHidden/>
          </w:rPr>
        </w:r>
        <w:r>
          <w:rPr>
            <w:webHidden/>
          </w:rPr>
          <w:fldChar w:fldCharType="separate"/>
        </w:r>
        <w:r w:rsidR="00D268D2">
          <w:rPr>
            <w:webHidden/>
          </w:rPr>
          <w:t>53</w:t>
        </w:r>
        <w:r>
          <w:rPr>
            <w:webHidden/>
          </w:rPr>
          <w:fldChar w:fldCharType="end"/>
        </w:r>
      </w:hyperlink>
    </w:p>
    <w:p w14:paraId="0D7FB768" w14:textId="68DFC555" w:rsidR="00BD7B89" w:rsidRDefault="00BD7B89">
      <w:pPr>
        <w:pStyle w:val="21"/>
        <w:tabs>
          <w:tab w:val="right" w:leader="dot" w:pos="9061"/>
        </w:tabs>
        <w:rPr>
          <w:rFonts w:ascii="Calibri" w:hAnsi="Calibri"/>
          <w:noProof/>
          <w:kern w:val="2"/>
        </w:rPr>
      </w:pPr>
      <w:hyperlink w:anchor="_Toc194558781" w:history="1">
        <w:r w:rsidRPr="00EB6147">
          <w:rPr>
            <w:rStyle w:val="a3"/>
            <w:noProof/>
          </w:rPr>
          <w:t>AK&amp;M, 02.04.2025, Половина россиян готовы сменить работу ради расширенного соцпакета от работодателя</w:t>
        </w:r>
        <w:r>
          <w:rPr>
            <w:noProof/>
            <w:webHidden/>
          </w:rPr>
          <w:tab/>
        </w:r>
        <w:r>
          <w:rPr>
            <w:noProof/>
            <w:webHidden/>
          </w:rPr>
          <w:fldChar w:fldCharType="begin"/>
        </w:r>
        <w:r>
          <w:rPr>
            <w:noProof/>
            <w:webHidden/>
          </w:rPr>
          <w:instrText xml:space="preserve"> PAGEREF _Toc194558781 \h </w:instrText>
        </w:r>
        <w:r>
          <w:rPr>
            <w:noProof/>
            <w:webHidden/>
          </w:rPr>
        </w:r>
        <w:r>
          <w:rPr>
            <w:noProof/>
            <w:webHidden/>
          </w:rPr>
          <w:fldChar w:fldCharType="separate"/>
        </w:r>
        <w:r w:rsidR="00D268D2">
          <w:rPr>
            <w:noProof/>
            <w:webHidden/>
          </w:rPr>
          <w:t>53</w:t>
        </w:r>
        <w:r>
          <w:rPr>
            <w:noProof/>
            <w:webHidden/>
          </w:rPr>
          <w:fldChar w:fldCharType="end"/>
        </w:r>
      </w:hyperlink>
    </w:p>
    <w:p w14:paraId="77ABC7ED" w14:textId="4A27A97E" w:rsidR="00BD7B89" w:rsidRDefault="00BD7B89">
      <w:pPr>
        <w:pStyle w:val="31"/>
        <w:rPr>
          <w:rFonts w:ascii="Calibri" w:hAnsi="Calibri"/>
          <w:kern w:val="2"/>
        </w:rPr>
      </w:pPr>
      <w:hyperlink w:anchor="_Toc194558782" w:history="1">
        <w:r w:rsidRPr="00EB6147">
          <w:rPr>
            <w:rStyle w:val="a3"/>
          </w:rPr>
          <w:t>Более половины (58%) россиян полностью или частично довольны социальным пакетом от работодателя. Каждый четвертый мечтает о компенсации жилья и коммунальных услуг за счет компании, а каждый десятый - о путевках в оздоровительные лагеря и санатории для детей. Страховая компания «Росгосстрах Жизнь» провела исследование и выяснила, какие льготы могут повлиять на лояльность и удержание работников и что россияне хотели бы видеть в числе корпоративных льгот.</w:t>
        </w:r>
        <w:r>
          <w:rPr>
            <w:webHidden/>
          </w:rPr>
          <w:tab/>
        </w:r>
        <w:r>
          <w:rPr>
            <w:webHidden/>
          </w:rPr>
          <w:fldChar w:fldCharType="begin"/>
        </w:r>
        <w:r>
          <w:rPr>
            <w:webHidden/>
          </w:rPr>
          <w:instrText xml:space="preserve"> PAGEREF _Toc194558782 \h </w:instrText>
        </w:r>
        <w:r>
          <w:rPr>
            <w:webHidden/>
          </w:rPr>
        </w:r>
        <w:r>
          <w:rPr>
            <w:webHidden/>
          </w:rPr>
          <w:fldChar w:fldCharType="separate"/>
        </w:r>
        <w:r w:rsidR="00D268D2">
          <w:rPr>
            <w:webHidden/>
          </w:rPr>
          <w:t>53</w:t>
        </w:r>
        <w:r>
          <w:rPr>
            <w:webHidden/>
          </w:rPr>
          <w:fldChar w:fldCharType="end"/>
        </w:r>
      </w:hyperlink>
    </w:p>
    <w:p w14:paraId="1421C350" w14:textId="45ABDDCF" w:rsidR="00BD7B89" w:rsidRDefault="00BD7B89">
      <w:pPr>
        <w:pStyle w:val="21"/>
        <w:tabs>
          <w:tab w:val="right" w:leader="dot" w:pos="9061"/>
        </w:tabs>
        <w:rPr>
          <w:rFonts w:ascii="Calibri" w:hAnsi="Calibri"/>
          <w:noProof/>
          <w:kern w:val="2"/>
        </w:rPr>
      </w:pPr>
      <w:hyperlink w:anchor="_Toc194558783" w:history="1">
        <w:r w:rsidRPr="00EB6147">
          <w:rPr>
            <w:rStyle w:val="a3"/>
            <w:noProof/>
          </w:rPr>
          <w:t xml:space="preserve">ComNews.ru, 03.04.2025, </w:t>
        </w:r>
        <w:r w:rsidRPr="00EB6147">
          <w:rPr>
            <w:rStyle w:val="a3"/>
            <w:rFonts w:eastAsia="Verdana"/>
            <w:noProof/>
          </w:rPr>
          <w:t>Новое налоговое регулирование и доступ регионов подстегнут российский рынок ЦФА</w:t>
        </w:r>
        <w:r>
          <w:rPr>
            <w:noProof/>
            <w:webHidden/>
          </w:rPr>
          <w:tab/>
        </w:r>
        <w:r>
          <w:rPr>
            <w:noProof/>
            <w:webHidden/>
          </w:rPr>
          <w:fldChar w:fldCharType="begin"/>
        </w:r>
        <w:r>
          <w:rPr>
            <w:noProof/>
            <w:webHidden/>
          </w:rPr>
          <w:instrText xml:space="preserve"> PAGEREF _Toc194558783 \h </w:instrText>
        </w:r>
        <w:r>
          <w:rPr>
            <w:noProof/>
            <w:webHidden/>
          </w:rPr>
        </w:r>
        <w:r>
          <w:rPr>
            <w:noProof/>
            <w:webHidden/>
          </w:rPr>
          <w:fldChar w:fldCharType="separate"/>
        </w:r>
        <w:r w:rsidR="00D268D2">
          <w:rPr>
            <w:noProof/>
            <w:webHidden/>
          </w:rPr>
          <w:t>55</w:t>
        </w:r>
        <w:r>
          <w:rPr>
            <w:noProof/>
            <w:webHidden/>
          </w:rPr>
          <w:fldChar w:fldCharType="end"/>
        </w:r>
      </w:hyperlink>
    </w:p>
    <w:p w14:paraId="6E4EA369" w14:textId="742C7095" w:rsidR="00BD7B89" w:rsidRDefault="00BD7B89">
      <w:pPr>
        <w:pStyle w:val="31"/>
        <w:rPr>
          <w:rFonts w:ascii="Calibri" w:hAnsi="Calibri"/>
          <w:kern w:val="2"/>
        </w:rPr>
      </w:pPr>
      <w:hyperlink w:anchor="_Toc194558784" w:history="1">
        <w:r w:rsidRPr="00EB6147">
          <w:rPr>
            <w:rStyle w:val="a3"/>
          </w:rPr>
          <w:t xml:space="preserve">Главными драйверами развития рынка цифровых финансовых активов могут стать законодательные изменения в области налогового регулирования и разрешение на выпуск ЦФА для финансирования региональных проектов. Эти меры могут привлечь инвестиции крупных игроков рынка, таких как </w:t>
        </w:r>
        <w:r w:rsidRPr="00EB6147">
          <w:rPr>
            <w:rStyle w:val="a3"/>
            <w:b/>
          </w:rPr>
          <w:t>пенсионные</w:t>
        </w:r>
        <w:r w:rsidRPr="00EB6147">
          <w:rPr>
            <w:rStyle w:val="a3"/>
          </w:rPr>
          <w:t xml:space="preserve"> фонды и </w:t>
        </w:r>
        <w:r w:rsidRPr="00EB6147">
          <w:rPr>
            <w:rStyle w:val="a3"/>
            <w:b/>
          </w:rPr>
          <w:t>управляющие компании</w:t>
        </w:r>
        <w:r w:rsidRPr="00EB6147">
          <w:rPr>
            <w:rStyle w:val="a3"/>
          </w:rPr>
          <w:t>.</w:t>
        </w:r>
        <w:r>
          <w:rPr>
            <w:webHidden/>
          </w:rPr>
          <w:tab/>
        </w:r>
        <w:r>
          <w:rPr>
            <w:webHidden/>
          </w:rPr>
          <w:fldChar w:fldCharType="begin"/>
        </w:r>
        <w:r>
          <w:rPr>
            <w:webHidden/>
          </w:rPr>
          <w:instrText xml:space="preserve"> PAGEREF _Toc194558784 \h </w:instrText>
        </w:r>
        <w:r>
          <w:rPr>
            <w:webHidden/>
          </w:rPr>
        </w:r>
        <w:r>
          <w:rPr>
            <w:webHidden/>
          </w:rPr>
          <w:fldChar w:fldCharType="separate"/>
        </w:r>
        <w:r w:rsidR="00D268D2">
          <w:rPr>
            <w:webHidden/>
          </w:rPr>
          <w:t>55</w:t>
        </w:r>
        <w:r>
          <w:rPr>
            <w:webHidden/>
          </w:rPr>
          <w:fldChar w:fldCharType="end"/>
        </w:r>
      </w:hyperlink>
    </w:p>
    <w:p w14:paraId="59DFDAB2" w14:textId="471E2F1D" w:rsidR="00BD7B89" w:rsidRDefault="00BD7B89">
      <w:pPr>
        <w:pStyle w:val="21"/>
        <w:tabs>
          <w:tab w:val="right" w:leader="dot" w:pos="9061"/>
        </w:tabs>
        <w:rPr>
          <w:rFonts w:ascii="Calibri" w:hAnsi="Calibri"/>
          <w:noProof/>
          <w:kern w:val="2"/>
        </w:rPr>
      </w:pPr>
      <w:hyperlink w:anchor="_Toc194558785" w:history="1">
        <w:r w:rsidRPr="00EB6147">
          <w:rPr>
            <w:rStyle w:val="a3"/>
            <w:noProof/>
          </w:rPr>
          <w:t xml:space="preserve">РИА Новости, 03.04.2025, </w:t>
        </w:r>
        <w:r w:rsidRPr="00EB6147">
          <w:rPr>
            <w:rStyle w:val="a3"/>
            <w:rFonts w:eastAsia="Verdana"/>
            <w:noProof/>
          </w:rPr>
          <w:t>Глава комитета ГД по финрынку Аксаков ждет снижения ставки ЦБ в апреле на 0,25 п.п.</w:t>
        </w:r>
        <w:r>
          <w:rPr>
            <w:noProof/>
            <w:webHidden/>
          </w:rPr>
          <w:tab/>
        </w:r>
        <w:r>
          <w:rPr>
            <w:noProof/>
            <w:webHidden/>
          </w:rPr>
          <w:fldChar w:fldCharType="begin"/>
        </w:r>
        <w:r>
          <w:rPr>
            <w:noProof/>
            <w:webHidden/>
          </w:rPr>
          <w:instrText xml:space="preserve"> PAGEREF _Toc194558785 \h </w:instrText>
        </w:r>
        <w:r>
          <w:rPr>
            <w:noProof/>
            <w:webHidden/>
          </w:rPr>
        </w:r>
        <w:r>
          <w:rPr>
            <w:noProof/>
            <w:webHidden/>
          </w:rPr>
          <w:fldChar w:fldCharType="separate"/>
        </w:r>
        <w:r w:rsidR="00D268D2">
          <w:rPr>
            <w:noProof/>
            <w:webHidden/>
          </w:rPr>
          <w:t>57</w:t>
        </w:r>
        <w:r>
          <w:rPr>
            <w:noProof/>
            <w:webHidden/>
          </w:rPr>
          <w:fldChar w:fldCharType="end"/>
        </w:r>
      </w:hyperlink>
    </w:p>
    <w:p w14:paraId="7BD5B9B3" w14:textId="2EE15D67" w:rsidR="00BD7B89" w:rsidRDefault="00BD7B89">
      <w:pPr>
        <w:pStyle w:val="31"/>
        <w:rPr>
          <w:rFonts w:ascii="Calibri" w:hAnsi="Calibri"/>
          <w:kern w:val="2"/>
        </w:rPr>
      </w:pPr>
      <w:hyperlink w:anchor="_Toc194558786" w:history="1">
        <w:r w:rsidRPr="00EB6147">
          <w:rPr>
            <w:rStyle w:val="a3"/>
          </w:rPr>
          <w:t>Председатель комитета Госдумы по финансовому рынку Анатолий Аксаков сообщил РИА Новости, что ожидает снижения ключевой ставки ЦБ РФ в апреле на 0,25 процентного пункта с нынешних 21% годовых.</w:t>
        </w:r>
        <w:r>
          <w:rPr>
            <w:webHidden/>
          </w:rPr>
          <w:tab/>
        </w:r>
        <w:r>
          <w:rPr>
            <w:webHidden/>
          </w:rPr>
          <w:fldChar w:fldCharType="begin"/>
        </w:r>
        <w:r>
          <w:rPr>
            <w:webHidden/>
          </w:rPr>
          <w:instrText xml:space="preserve"> PAGEREF _Toc194558786 \h </w:instrText>
        </w:r>
        <w:r>
          <w:rPr>
            <w:webHidden/>
          </w:rPr>
        </w:r>
        <w:r>
          <w:rPr>
            <w:webHidden/>
          </w:rPr>
          <w:fldChar w:fldCharType="separate"/>
        </w:r>
        <w:r w:rsidR="00D268D2">
          <w:rPr>
            <w:webHidden/>
          </w:rPr>
          <w:t>57</w:t>
        </w:r>
        <w:r>
          <w:rPr>
            <w:webHidden/>
          </w:rPr>
          <w:fldChar w:fldCharType="end"/>
        </w:r>
      </w:hyperlink>
    </w:p>
    <w:p w14:paraId="5141FC77" w14:textId="3656331F" w:rsidR="00BD7B89" w:rsidRDefault="00BD7B89">
      <w:pPr>
        <w:pStyle w:val="21"/>
        <w:tabs>
          <w:tab w:val="right" w:leader="dot" w:pos="9061"/>
        </w:tabs>
        <w:rPr>
          <w:rFonts w:ascii="Calibri" w:hAnsi="Calibri"/>
          <w:noProof/>
          <w:kern w:val="2"/>
        </w:rPr>
      </w:pPr>
      <w:hyperlink w:anchor="_Toc194558787" w:history="1">
        <w:r w:rsidRPr="00EB6147">
          <w:rPr>
            <w:rStyle w:val="a3"/>
            <w:noProof/>
          </w:rPr>
          <w:t>Коммерсантъ, 02.04.2025, Жизнь страховать - не поле перейти</w:t>
        </w:r>
        <w:r>
          <w:rPr>
            <w:noProof/>
            <w:webHidden/>
          </w:rPr>
          <w:tab/>
        </w:r>
        <w:r>
          <w:rPr>
            <w:noProof/>
            <w:webHidden/>
          </w:rPr>
          <w:fldChar w:fldCharType="begin"/>
        </w:r>
        <w:r>
          <w:rPr>
            <w:noProof/>
            <w:webHidden/>
          </w:rPr>
          <w:instrText xml:space="preserve"> PAGEREF _Toc194558787 \h </w:instrText>
        </w:r>
        <w:r>
          <w:rPr>
            <w:noProof/>
            <w:webHidden/>
          </w:rPr>
        </w:r>
        <w:r>
          <w:rPr>
            <w:noProof/>
            <w:webHidden/>
          </w:rPr>
          <w:fldChar w:fldCharType="separate"/>
        </w:r>
        <w:r w:rsidR="00D268D2">
          <w:rPr>
            <w:noProof/>
            <w:webHidden/>
          </w:rPr>
          <w:t>57</w:t>
        </w:r>
        <w:r>
          <w:rPr>
            <w:noProof/>
            <w:webHidden/>
          </w:rPr>
          <w:fldChar w:fldCharType="end"/>
        </w:r>
      </w:hyperlink>
    </w:p>
    <w:p w14:paraId="6B7F458F" w14:textId="621F7630" w:rsidR="00BD7B89" w:rsidRDefault="00BD7B89">
      <w:pPr>
        <w:pStyle w:val="31"/>
        <w:rPr>
          <w:rFonts w:ascii="Calibri" w:hAnsi="Calibri"/>
          <w:kern w:val="2"/>
        </w:rPr>
      </w:pPr>
      <w:hyperlink w:anchor="_Toc194558788" w:history="1">
        <w:r w:rsidRPr="00EB6147">
          <w:rPr>
            <w:rStyle w:val="a3"/>
          </w:rPr>
          <w:t>Страховщики медленно запускают продажу полисов долевого страхования жизни (ДСЖ), которая разрешена с начала 2025 года. По словам участников рынка, в этом сегменте остаются нерешенными некоторые вопросы регулирования, а также вызывает вопросы способность продукта конкурировать с ПИФами. В связи с этим на рынке обсуждается идея аналога ранее популярных полисов инвестиционного страхования жизни (ИСЖ), но уже для квалифицированных инвесторов.</w:t>
        </w:r>
        <w:r>
          <w:rPr>
            <w:webHidden/>
          </w:rPr>
          <w:tab/>
        </w:r>
        <w:r>
          <w:rPr>
            <w:webHidden/>
          </w:rPr>
          <w:fldChar w:fldCharType="begin"/>
        </w:r>
        <w:r>
          <w:rPr>
            <w:webHidden/>
          </w:rPr>
          <w:instrText xml:space="preserve"> PAGEREF _Toc194558788 \h </w:instrText>
        </w:r>
        <w:r>
          <w:rPr>
            <w:webHidden/>
          </w:rPr>
        </w:r>
        <w:r>
          <w:rPr>
            <w:webHidden/>
          </w:rPr>
          <w:fldChar w:fldCharType="separate"/>
        </w:r>
        <w:r w:rsidR="00D268D2">
          <w:rPr>
            <w:webHidden/>
          </w:rPr>
          <w:t>57</w:t>
        </w:r>
        <w:r>
          <w:rPr>
            <w:webHidden/>
          </w:rPr>
          <w:fldChar w:fldCharType="end"/>
        </w:r>
      </w:hyperlink>
    </w:p>
    <w:p w14:paraId="0C9C611C" w14:textId="3ACA4F58" w:rsidR="00BD7B89" w:rsidRDefault="00BD7B89">
      <w:pPr>
        <w:pStyle w:val="12"/>
        <w:tabs>
          <w:tab w:val="right" w:leader="dot" w:pos="9061"/>
        </w:tabs>
        <w:rPr>
          <w:rFonts w:ascii="Calibri" w:hAnsi="Calibri"/>
          <w:b w:val="0"/>
          <w:noProof/>
          <w:kern w:val="2"/>
          <w:sz w:val="24"/>
        </w:rPr>
      </w:pPr>
      <w:hyperlink w:anchor="_Toc194558789" w:history="1">
        <w:r w:rsidRPr="00EB6147">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_Toc194558789 \h </w:instrText>
        </w:r>
        <w:r>
          <w:rPr>
            <w:noProof/>
            <w:webHidden/>
          </w:rPr>
        </w:r>
        <w:r>
          <w:rPr>
            <w:noProof/>
            <w:webHidden/>
          </w:rPr>
          <w:fldChar w:fldCharType="separate"/>
        </w:r>
        <w:r w:rsidR="00D268D2">
          <w:rPr>
            <w:noProof/>
            <w:webHidden/>
          </w:rPr>
          <w:t>59</w:t>
        </w:r>
        <w:r>
          <w:rPr>
            <w:noProof/>
            <w:webHidden/>
          </w:rPr>
          <w:fldChar w:fldCharType="end"/>
        </w:r>
      </w:hyperlink>
    </w:p>
    <w:p w14:paraId="664620D9" w14:textId="45B2336D" w:rsidR="00BD7B89" w:rsidRDefault="00BD7B89">
      <w:pPr>
        <w:pStyle w:val="12"/>
        <w:tabs>
          <w:tab w:val="right" w:leader="dot" w:pos="9061"/>
        </w:tabs>
        <w:rPr>
          <w:rFonts w:ascii="Calibri" w:hAnsi="Calibri"/>
          <w:b w:val="0"/>
          <w:noProof/>
          <w:kern w:val="2"/>
          <w:sz w:val="24"/>
        </w:rPr>
      </w:pPr>
      <w:hyperlink w:anchor="_Toc194558790" w:history="1">
        <w:r w:rsidRPr="00EB6147">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_Toc194558790 \h </w:instrText>
        </w:r>
        <w:r>
          <w:rPr>
            <w:noProof/>
            <w:webHidden/>
          </w:rPr>
        </w:r>
        <w:r>
          <w:rPr>
            <w:noProof/>
            <w:webHidden/>
          </w:rPr>
          <w:fldChar w:fldCharType="separate"/>
        </w:r>
        <w:r w:rsidR="00D268D2">
          <w:rPr>
            <w:noProof/>
            <w:webHidden/>
          </w:rPr>
          <w:t>59</w:t>
        </w:r>
        <w:r>
          <w:rPr>
            <w:noProof/>
            <w:webHidden/>
          </w:rPr>
          <w:fldChar w:fldCharType="end"/>
        </w:r>
      </w:hyperlink>
    </w:p>
    <w:p w14:paraId="2B670F15" w14:textId="1DC7496F" w:rsidR="00BD7B89" w:rsidRDefault="00BD7B89">
      <w:pPr>
        <w:pStyle w:val="21"/>
        <w:tabs>
          <w:tab w:val="right" w:leader="dot" w:pos="9061"/>
        </w:tabs>
        <w:rPr>
          <w:rFonts w:ascii="Calibri" w:hAnsi="Calibri"/>
          <w:noProof/>
          <w:kern w:val="2"/>
        </w:rPr>
      </w:pPr>
      <w:hyperlink w:anchor="_Toc194558791" w:history="1">
        <w:r w:rsidRPr="00EB6147">
          <w:rPr>
            <w:rStyle w:val="a3"/>
            <w:noProof/>
          </w:rPr>
          <w:t>БЕЛТА, 02.04.2025, Депутаты приняли в первом чтении законопроект по вопросам соцстрахования и пенсионного обеспечения</w:t>
        </w:r>
        <w:r>
          <w:rPr>
            <w:noProof/>
            <w:webHidden/>
          </w:rPr>
          <w:tab/>
        </w:r>
        <w:r>
          <w:rPr>
            <w:noProof/>
            <w:webHidden/>
          </w:rPr>
          <w:fldChar w:fldCharType="begin"/>
        </w:r>
        <w:r>
          <w:rPr>
            <w:noProof/>
            <w:webHidden/>
          </w:rPr>
          <w:instrText xml:space="preserve"> PAGEREF _Toc194558791 \h </w:instrText>
        </w:r>
        <w:r>
          <w:rPr>
            <w:noProof/>
            <w:webHidden/>
          </w:rPr>
        </w:r>
        <w:r>
          <w:rPr>
            <w:noProof/>
            <w:webHidden/>
          </w:rPr>
          <w:fldChar w:fldCharType="separate"/>
        </w:r>
        <w:r w:rsidR="00D268D2">
          <w:rPr>
            <w:noProof/>
            <w:webHidden/>
          </w:rPr>
          <w:t>59</w:t>
        </w:r>
        <w:r>
          <w:rPr>
            <w:noProof/>
            <w:webHidden/>
          </w:rPr>
          <w:fldChar w:fldCharType="end"/>
        </w:r>
      </w:hyperlink>
    </w:p>
    <w:p w14:paraId="2BBA61D6" w14:textId="49C5F106" w:rsidR="00BD7B89" w:rsidRDefault="00BD7B89">
      <w:pPr>
        <w:pStyle w:val="31"/>
        <w:rPr>
          <w:rFonts w:ascii="Calibri" w:hAnsi="Calibri"/>
          <w:kern w:val="2"/>
        </w:rPr>
      </w:pPr>
      <w:hyperlink w:anchor="_Toc194558792" w:history="1">
        <w:r w:rsidRPr="00EB6147">
          <w:rPr>
            <w:rStyle w:val="a3"/>
          </w:rPr>
          <w:t>Депутаты на заседании второй сессии Палаты представителей Национального собрания Республики Беларусь восьмого созыва приняли в первом чтении законопроект "Об изменении законов по вопросам государственного социального страхования и пенсионного обеспечения", передает корреспондент БЕЛТА.</w:t>
        </w:r>
        <w:r>
          <w:rPr>
            <w:webHidden/>
          </w:rPr>
          <w:tab/>
        </w:r>
        <w:r>
          <w:rPr>
            <w:webHidden/>
          </w:rPr>
          <w:fldChar w:fldCharType="begin"/>
        </w:r>
        <w:r>
          <w:rPr>
            <w:webHidden/>
          </w:rPr>
          <w:instrText xml:space="preserve"> PAGEREF _Toc194558792 \h </w:instrText>
        </w:r>
        <w:r>
          <w:rPr>
            <w:webHidden/>
          </w:rPr>
        </w:r>
        <w:r>
          <w:rPr>
            <w:webHidden/>
          </w:rPr>
          <w:fldChar w:fldCharType="separate"/>
        </w:r>
        <w:r w:rsidR="00D268D2">
          <w:rPr>
            <w:webHidden/>
          </w:rPr>
          <w:t>59</w:t>
        </w:r>
        <w:r>
          <w:rPr>
            <w:webHidden/>
          </w:rPr>
          <w:fldChar w:fldCharType="end"/>
        </w:r>
      </w:hyperlink>
    </w:p>
    <w:p w14:paraId="284813FA" w14:textId="5673A681" w:rsidR="00BD7B89" w:rsidRDefault="00BD7B89">
      <w:pPr>
        <w:pStyle w:val="21"/>
        <w:tabs>
          <w:tab w:val="right" w:leader="dot" w:pos="9061"/>
        </w:tabs>
        <w:rPr>
          <w:rFonts w:ascii="Calibri" w:hAnsi="Calibri"/>
          <w:noProof/>
          <w:kern w:val="2"/>
        </w:rPr>
      </w:pPr>
      <w:hyperlink w:anchor="_Toc194558793" w:history="1">
        <w:r w:rsidRPr="00EB6147">
          <w:rPr>
            <w:rStyle w:val="a3"/>
            <w:noProof/>
          </w:rPr>
          <w:t>LS, 02.04.2025, Деньги на старость: что происходило с пенсионными накоплениями последние пять лет</w:t>
        </w:r>
        <w:r>
          <w:rPr>
            <w:noProof/>
            <w:webHidden/>
          </w:rPr>
          <w:tab/>
        </w:r>
        <w:r>
          <w:rPr>
            <w:noProof/>
            <w:webHidden/>
          </w:rPr>
          <w:fldChar w:fldCharType="begin"/>
        </w:r>
        <w:r>
          <w:rPr>
            <w:noProof/>
            <w:webHidden/>
          </w:rPr>
          <w:instrText xml:space="preserve"> PAGEREF _Toc194558793 \h </w:instrText>
        </w:r>
        <w:r>
          <w:rPr>
            <w:noProof/>
            <w:webHidden/>
          </w:rPr>
        </w:r>
        <w:r>
          <w:rPr>
            <w:noProof/>
            <w:webHidden/>
          </w:rPr>
          <w:fldChar w:fldCharType="separate"/>
        </w:r>
        <w:r w:rsidR="00D268D2">
          <w:rPr>
            <w:noProof/>
            <w:webHidden/>
          </w:rPr>
          <w:t>60</w:t>
        </w:r>
        <w:r>
          <w:rPr>
            <w:noProof/>
            <w:webHidden/>
          </w:rPr>
          <w:fldChar w:fldCharType="end"/>
        </w:r>
      </w:hyperlink>
    </w:p>
    <w:p w14:paraId="7033315D" w14:textId="5C12D404" w:rsidR="00BD7B89" w:rsidRDefault="00BD7B89">
      <w:pPr>
        <w:pStyle w:val="31"/>
        <w:rPr>
          <w:rFonts w:ascii="Calibri" w:hAnsi="Calibri"/>
          <w:kern w:val="2"/>
        </w:rPr>
      </w:pPr>
      <w:hyperlink w:anchor="_Toc194558794" w:history="1">
        <w:r w:rsidRPr="00EB6147">
          <w:rPr>
            <w:rStyle w:val="a3"/>
          </w:rPr>
          <w:t>В Нацбанке рассказали LS о том, как изменилась доходность пенсионных накоплений казахстанцев за последние пять лет.</w:t>
        </w:r>
        <w:r>
          <w:rPr>
            <w:webHidden/>
          </w:rPr>
          <w:tab/>
        </w:r>
        <w:r>
          <w:rPr>
            <w:webHidden/>
          </w:rPr>
          <w:fldChar w:fldCharType="begin"/>
        </w:r>
        <w:r>
          <w:rPr>
            <w:webHidden/>
          </w:rPr>
          <w:instrText xml:space="preserve"> PAGEREF _Toc194558794 \h </w:instrText>
        </w:r>
        <w:r>
          <w:rPr>
            <w:webHidden/>
          </w:rPr>
        </w:r>
        <w:r>
          <w:rPr>
            <w:webHidden/>
          </w:rPr>
          <w:fldChar w:fldCharType="separate"/>
        </w:r>
        <w:r w:rsidR="00D268D2">
          <w:rPr>
            <w:webHidden/>
          </w:rPr>
          <w:t>60</w:t>
        </w:r>
        <w:r>
          <w:rPr>
            <w:webHidden/>
          </w:rPr>
          <w:fldChar w:fldCharType="end"/>
        </w:r>
      </w:hyperlink>
    </w:p>
    <w:p w14:paraId="76F9AAED" w14:textId="4AA43211" w:rsidR="00BD7B89" w:rsidRDefault="00BD7B89">
      <w:pPr>
        <w:pStyle w:val="12"/>
        <w:tabs>
          <w:tab w:val="right" w:leader="dot" w:pos="9061"/>
        </w:tabs>
        <w:rPr>
          <w:rFonts w:ascii="Calibri" w:hAnsi="Calibri"/>
          <w:b w:val="0"/>
          <w:noProof/>
          <w:kern w:val="2"/>
          <w:sz w:val="24"/>
        </w:rPr>
      </w:pPr>
      <w:hyperlink w:anchor="_Toc194558795" w:history="1">
        <w:r w:rsidRPr="00EB6147">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_Toc194558795 \h </w:instrText>
        </w:r>
        <w:r>
          <w:rPr>
            <w:noProof/>
            <w:webHidden/>
          </w:rPr>
        </w:r>
        <w:r>
          <w:rPr>
            <w:noProof/>
            <w:webHidden/>
          </w:rPr>
          <w:fldChar w:fldCharType="separate"/>
        </w:r>
        <w:r w:rsidR="00D268D2">
          <w:rPr>
            <w:noProof/>
            <w:webHidden/>
          </w:rPr>
          <w:t>61</w:t>
        </w:r>
        <w:r>
          <w:rPr>
            <w:noProof/>
            <w:webHidden/>
          </w:rPr>
          <w:fldChar w:fldCharType="end"/>
        </w:r>
      </w:hyperlink>
    </w:p>
    <w:p w14:paraId="631F46E6" w14:textId="59376B4A" w:rsidR="00BD7B89" w:rsidRDefault="00BD7B89">
      <w:pPr>
        <w:pStyle w:val="21"/>
        <w:tabs>
          <w:tab w:val="right" w:leader="dot" w:pos="9061"/>
        </w:tabs>
        <w:rPr>
          <w:rFonts w:ascii="Calibri" w:hAnsi="Calibri"/>
          <w:noProof/>
          <w:kern w:val="2"/>
        </w:rPr>
      </w:pPr>
      <w:hyperlink w:anchor="_Toc194558796" w:history="1">
        <w:r w:rsidRPr="00EB6147">
          <w:rPr>
            <w:rStyle w:val="a3"/>
            <w:noProof/>
          </w:rPr>
          <w:t>РБК Инвестиции, 02.04.2025, Пенсионный фонд Норвегии призвали к возобновлению инвестиций в ВПК</w:t>
        </w:r>
        <w:r>
          <w:rPr>
            <w:noProof/>
            <w:webHidden/>
          </w:rPr>
          <w:tab/>
        </w:r>
        <w:r>
          <w:rPr>
            <w:noProof/>
            <w:webHidden/>
          </w:rPr>
          <w:fldChar w:fldCharType="begin"/>
        </w:r>
        <w:r>
          <w:rPr>
            <w:noProof/>
            <w:webHidden/>
          </w:rPr>
          <w:instrText xml:space="preserve"> PAGEREF _Toc194558796 \h </w:instrText>
        </w:r>
        <w:r>
          <w:rPr>
            <w:noProof/>
            <w:webHidden/>
          </w:rPr>
        </w:r>
        <w:r>
          <w:rPr>
            <w:noProof/>
            <w:webHidden/>
          </w:rPr>
          <w:fldChar w:fldCharType="separate"/>
        </w:r>
        <w:r w:rsidR="00D268D2">
          <w:rPr>
            <w:noProof/>
            <w:webHidden/>
          </w:rPr>
          <w:t>61</w:t>
        </w:r>
        <w:r>
          <w:rPr>
            <w:noProof/>
            <w:webHidden/>
          </w:rPr>
          <w:fldChar w:fldCharType="end"/>
        </w:r>
      </w:hyperlink>
    </w:p>
    <w:p w14:paraId="41EFC8AF" w14:textId="4E610255" w:rsidR="00BD7B89" w:rsidRDefault="00BD7B89">
      <w:pPr>
        <w:pStyle w:val="31"/>
        <w:rPr>
          <w:rFonts w:ascii="Calibri" w:hAnsi="Calibri"/>
          <w:kern w:val="2"/>
        </w:rPr>
      </w:pPr>
      <w:hyperlink w:anchor="_Toc194558797" w:history="1">
        <w:r w:rsidRPr="00EB6147">
          <w:rPr>
            <w:rStyle w:val="a3"/>
          </w:rPr>
          <w:t>Государственный пенсионный фонд Норвегии, которому принадлежат около 1,5% всех акций в мире, призвали пересмотреть этические принципы инвестиций в оборонные компании.</w:t>
        </w:r>
        <w:r>
          <w:rPr>
            <w:webHidden/>
          </w:rPr>
          <w:tab/>
        </w:r>
        <w:r>
          <w:rPr>
            <w:webHidden/>
          </w:rPr>
          <w:fldChar w:fldCharType="begin"/>
        </w:r>
        <w:r>
          <w:rPr>
            <w:webHidden/>
          </w:rPr>
          <w:instrText xml:space="preserve"> PAGEREF _Toc194558797 \h </w:instrText>
        </w:r>
        <w:r>
          <w:rPr>
            <w:webHidden/>
          </w:rPr>
        </w:r>
        <w:r>
          <w:rPr>
            <w:webHidden/>
          </w:rPr>
          <w:fldChar w:fldCharType="separate"/>
        </w:r>
        <w:r w:rsidR="00D268D2">
          <w:rPr>
            <w:webHidden/>
          </w:rPr>
          <w:t>61</w:t>
        </w:r>
        <w:r>
          <w:rPr>
            <w:webHidden/>
          </w:rPr>
          <w:fldChar w:fldCharType="end"/>
        </w:r>
      </w:hyperlink>
    </w:p>
    <w:p w14:paraId="30302549" w14:textId="26F2C754" w:rsidR="00A0290C" w:rsidRPr="00E87003" w:rsidRDefault="001D5404" w:rsidP="00310633">
      <w:pPr>
        <w:rPr>
          <w:b/>
          <w:caps/>
          <w:sz w:val="32"/>
        </w:rPr>
      </w:pPr>
      <w:r w:rsidRPr="00E87003">
        <w:rPr>
          <w:caps/>
          <w:sz w:val="28"/>
        </w:rPr>
        <w:fldChar w:fldCharType="end"/>
      </w:r>
    </w:p>
    <w:p w14:paraId="42131CB7" w14:textId="77777777" w:rsidR="00D1642B" w:rsidRPr="00E87003" w:rsidRDefault="00D1642B" w:rsidP="00D1642B">
      <w:pPr>
        <w:pStyle w:val="251"/>
      </w:pPr>
      <w:bookmarkStart w:id="16" w:name="_Toc396864664"/>
      <w:bookmarkStart w:id="17" w:name="_Toc99318652"/>
      <w:bookmarkStart w:id="18" w:name="_Toc246216291"/>
      <w:bookmarkStart w:id="19" w:name="_Toc246297418"/>
      <w:bookmarkStart w:id="20" w:name="_Toc194558690"/>
      <w:bookmarkEnd w:id="8"/>
      <w:bookmarkEnd w:id="9"/>
      <w:bookmarkEnd w:id="10"/>
      <w:bookmarkEnd w:id="11"/>
      <w:bookmarkEnd w:id="12"/>
      <w:bookmarkEnd w:id="13"/>
      <w:bookmarkEnd w:id="14"/>
      <w:bookmarkEnd w:id="15"/>
      <w:r w:rsidRPr="00E87003">
        <w:lastRenderedPageBreak/>
        <w:t>НОВОСТИ ПЕНСИОННОЙ ОТРАСЛИ</w:t>
      </w:r>
      <w:bookmarkEnd w:id="16"/>
      <w:bookmarkEnd w:id="17"/>
      <w:bookmarkEnd w:id="20"/>
    </w:p>
    <w:p w14:paraId="72415EFC" w14:textId="77777777" w:rsidR="00111D7C" w:rsidRPr="00E87003"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94558691"/>
      <w:bookmarkEnd w:id="18"/>
      <w:bookmarkEnd w:id="19"/>
      <w:r w:rsidRPr="00E87003">
        <w:t>Новости отрасли НПФ</w:t>
      </w:r>
      <w:bookmarkEnd w:id="21"/>
      <w:bookmarkEnd w:id="22"/>
      <w:bookmarkEnd w:id="23"/>
      <w:bookmarkEnd w:id="27"/>
    </w:p>
    <w:p w14:paraId="50E5E6D4" w14:textId="77777777" w:rsidR="007A2019" w:rsidRPr="00E87003" w:rsidRDefault="007A2019" w:rsidP="007A2019">
      <w:pPr>
        <w:pStyle w:val="2"/>
      </w:pPr>
      <w:bookmarkStart w:id="28" w:name="_Hlk194558002"/>
      <w:bookmarkStart w:id="29" w:name="_Toc194558692"/>
      <w:r w:rsidRPr="00E87003">
        <w:t>Пенсия.pro, 02.04.2025, Банк России ужесточил правила тестирования пенсионных фондов</w:t>
      </w:r>
      <w:bookmarkEnd w:id="29"/>
    </w:p>
    <w:p w14:paraId="1ED52178" w14:textId="77777777" w:rsidR="007A2019" w:rsidRPr="00E87003" w:rsidRDefault="007A2019" w:rsidP="00CC78E6">
      <w:pPr>
        <w:pStyle w:val="3"/>
      </w:pPr>
      <w:bookmarkStart w:id="30" w:name="_Toc194558693"/>
      <w:r w:rsidRPr="00E87003">
        <w:t>Банк России обновил сценарии обязательного стресс-тестирования негосударственных пенсионных фондов. В центре возможного развития ситуации — ухудшение экономического положения России.</w:t>
      </w:r>
      <w:bookmarkEnd w:id="30"/>
    </w:p>
    <w:p w14:paraId="7171B2E3" w14:textId="77777777" w:rsidR="007A2019" w:rsidRPr="00E87003" w:rsidRDefault="007A2019" w:rsidP="007A2019">
      <w:r w:rsidRPr="00E87003">
        <w:t>Стресс-тесты должны помочь оценить устойчивость фондов к возможным неблагоприятным изменениям экономической ситуации. Согласно одной из версий сценария, на рынке будет происходить более интенсивное снижение ставок доходности государственных облигаций (ОФЗ). Согласно другому сценарию, возможен дефолт активов НПФ. И все это — в условиях длительной высокой ключевой ставки, рассказали в ЦБ.</w:t>
      </w:r>
    </w:p>
    <w:p w14:paraId="31E89472" w14:textId="77777777" w:rsidR="007A2019" w:rsidRPr="00E87003" w:rsidRDefault="007A2019" w:rsidP="007A2019">
      <w:r w:rsidRPr="00E87003">
        <w:t>НПФ проводят стресс-тестирование ежеквартально. Сейчас фонды должны показать результат не менее 75 % — именно в таком количестве случаев платежеспособность обязана быть сохранена. ЦБ намерен в скором времени увеличить это требование до 95 %. При этом ЦБ регулярно ужесточает сценарии проверки.</w:t>
      </w:r>
    </w:p>
    <w:p w14:paraId="42939522" w14:textId="77777777" w:rsidR="00111D7C" w:rsidRPr="00E87003" w:rsidRDefault="007A2019" w:rsidP="007A2019">
      <w:hyperlink r:id="rId8" w:history="1">
        <w:r w:rsidRPr="00E87003">
          <w:rPr>
            <w:rStyle w:val="a3"/>
          </w:rPr>
          <w:t>https://pensiya.pro/news/bank-rossii-uzhestochil-pravila-testirovaniya-pensionnyh-fondov/</w:t>
        </w:r>
      </w:hyperlink>
    </w:p>
    <w:p w14:paraId="32CD0A46" w14:textId="77777777" w:rsidR="007A2019" w:rsidRPr="00E87003" w:rsidRDefault="007A2019" w:rsidP="007A2019">
      <w:pPr>
        <w:pStyle w:val="2"/>
      </w:pPr>
      <w:bookmarkStart w:id="31" w:name="a1"/>
      <w:bookmarkStart w:id="32" w:name="_Hlk194558024"/>
      <w:bookmarkStart w:id="33" w:name="_Toc194558694"/>
      <w:bookmarkEnd w:id="28"/>
      <w:bookmarkEnd w:id="31"/>
      <w:r w:rsidRPr="00E87003">
        <w:t>Пенсия.pro, 02.04.2025, НПФ «Будущее» отчитался о росте прибыли на 39 %</w:t>
      </w:r>
      <w:bookmarkEnd w:id="33"/>
    </w:p>
    <w:p w14:paraId="7F0FFFDC" w14:textId="77777777" w:rsidR="007A2019" w:rsidRPr="00E87003" w:rsidRDefault="007A2019" w:rsidP="00CC78E6">
      <w:pPr>
        <w:pStyle w:val="3"/>
      </w:pPr>
      <w:bookmarkStart w:id="34" w:name="_Toc194558695"/>
      <w:r w:rsidRPr="00E87003">
        <w:t>Активы негосударственного пенсионного фонда «Будущее» увеличились за год на 3,7 %, до 303 млрд рублей, а обязательства возросли на 4 % — до 285,6 млрд рублей. Фонд завершил год с чистой прибылью в 6,1 млрд рублей — это на 39 % больше, чем в 2023 году (4,4 млрд рублей), следует из годовой отчетности.</w:t>
      </w:r>
      <w:bookmarkEnd w:id="34"/>
    </w:p>
    <w:p w14:paraId="23D7925C" w14:textId="77777777" w:rsidR="007A2019" w:rsidRPr="00E87003" w:rsidRDefault="007A2019" w:rsidP="007A2019">
      <w:r w:rsidRPr="00E87003">
        <w:t>В общей сложности клиенты вложили в продукты НПФ 307,9 млн рублей — это почти в два раза больше, чем годом ранее (тогда было 193,6 млн рублей). Выплаты клиентам составили 7,2 млрд рублей.</w:t>
      </w:r>
    </w:p>
    <w:p w14:paraId="20169B95" w14:textId="77777777" w:rsidR="007A2019" w:rsidRPr="00E87003" w:rsidRDefault="007A2019" w:rsidP="007A2019">
      <w:r w:rsidRPr="00E87003">
        <w:t>Рост вложений наблюдался по договорам негосударственного пенсионного обеспечения и долгосрочных сбережений. Сумма взносов, поступившая по ним, составила 221,3 млн рублей. Это более чем в четыре раза выше аналогичных показателей 2023 года (45,6 млн рублей). Такая динамика, в первую очередь, связана с запуском НПФ в 2024 году новой программы долгосрочных сбережений и возрастающим интересом клиентов к ней, отмечается в сообщении организации.</w:t>
      </w:r>
    </w:p>
    <w:p w14:paraId="1E5B5389" w14:textId="77777777" w:rsidR="007A2019" w:rsidRPr="00E87003" w:rsidRDefault="007A2019" w:rsidP="007A2019">
      <w:r w:rsidRPr="00E87003">
        <w:lastRenderedPageBreak/>
        <w:t>А вот взносы по обязательному пенсионному страхованию (накопительная часть пенсии), наоборот, упали. В 2023 году в фонд по этому направлению поступило более 148 млн рублей, а в 2024-м — 86,6 млн.</w:t>
      </w:r>
    </w:p>
    <w:p w14:paraId="30A06F49" w14:textId="77777777" w:rsidR="007A2019" w:rsidRPr="00E87003" w:rsidRDefault="00C64C64" w:rsidP="007A2019">
      <w:r>
        <w:rPr>
          <w:noProof/>
        </w:rPr>
        <w:pict w14:anchorId="084D49D3">
          <v:shape id="_x0000_i1026" type="#_x0000_t75" alt="" style="width:457.5pt;height:432.75pt;mso-width-percent:0;mso-height-percent:0;mso-width-percent:0;mso-height-percent:0">
            <v:imagedata r:id="rId9" o:title="Пенсия"/>
          </v:shape>
        </w:pict>
      </w:r>
    </w:p>
    <w:p w14:paraId="15DA060F" w14:textId="77777777" w:rsidR="007A2019" w:rsidRPr="00E87003" w:rsidRDefault="007A2019" w:rsidP="007A2019">
      <w:r w:rsidRPr="00E87003">
        <w:t>По итогам года по ПДС фонд начислил своим клиентам доход по ставке 22,01 % годовых. Доходность по договорам негосударственного пенсионного обеспечения (НПО) составила 8,07 %, обязательного пенсионного страхования (ОПС) — 7,51 %.</w:t>
      </w:r>
    </w:p>
    <w:p w14:paraId="68272C50" w14:textId="77777777" w:rsidR="007A2019" w:rsidRPr="00E87003" w:rsidRDefault="007A2019" w:rsidP="007A2019">
      <w:r w:rsidRPr="00E87003">
        <w:t>Инвестдоход оказался на уровне 29 млрд рублей. Это сразу на 34 % (то есть на 8 млрд) больше показателя за 2023 год. Росту инвестиционного дохода способствовали высокие ставки на финансовом рынке.</w:t>
      </w:r>
    </w:p>
    <w:p w14:paraId="41DBE21D" w14:textId="77777777" w:rsidR="007A2019" w:rsidRPr="00E87003" w:rsidRDefault="007A2019" w:rsidP="007A2019">
      <w:r w:rsidRPr="00E87003">
        <w:t xml:space="preserve">На базе НПФ «Будущее» группа компаний «Регион, которой принадлежит фонд, создает новый мега-НПФ, который сможет вобрать все фонды «Региона», кроме «Эволюции». По итогам реорганизации «Будущее» должно стать одним из крупнейших НПФ в России: количество клиентов составит 8,9 млн человек, а объем средств под управлением превысит 725 млрд рублей. В «Регионе» ожидают, что фонд займет на </w:t>
      </w:r>
      <w:r w:rsidRPr="00E87003">
        <w:lastRenderedPageBreak/>
        <w:t>рынке пенсионных услуг третье место по числу клиентов и четвертое место по объему активов.</w:t>
      </w:r>
    </w:p>
    <w:p w14:paraId="2B7E3F57" w14:textId="77777777" w:rsidR="007A2019" w:rsidRPr="00E87003" w:rsidRDefault="007A2019" w:rsidP="007A2019">
      <w:hyperlink r:id="rId10" w:history="1">
        <w:r w:rsidRPr="00E87003">
          <w:rPr>
            <w:rStyle w:val="a3"/>
          </w:rPr>
          <w:t>https://pensiya.pro/news/npf-budushhee-otchitalsya-o-roste-pribyli-na-39/</w:t>
        </w:r>
      </w:hyperlink>
    </w:p>
    <w:p w14:paraId="2550A70D" w14:textId="77777777" w:rsidR="005F79C8" w:rsidRPr="00E87003" w:rsidRDefault="005F79C8" w:rsidP="005F79C8">
      <w:pPr>
        <w:pStyle w:val="2"/>
      </w:pPr>
      <w:bookmarkStart w:id="35" w:name="a2"/>
      <w:bookmarkStart w:id="36" w:name="_Toc194558696"/>
      <w:bookmarkEnd w:id="35"/>
      <w:r w:rsidRPr="00E87003">
        <w:t>Ваш пенсионный брокер, 02.04.2025, НПФ «Достойное БУДУЩЕЕ» подвёл финансовые итоги за 2024 год</w:t>
      </w:r>
      <w:bookmarkEnd w:id="36"/>
    </w:p>
    <w:p w14:paraId="22256B47" w14:textId="77777777" w:rsidR="005F79C8" w:rsidRPr="00E87003" w:rsidRDefault="005F79C8" w:rsidP="00CC78E6">
      <w:pPr>
        <w:pStyle w:val="3"/>
      </w:pPr>
      <w:bookmarkStart w:id="37" w:name="_Toc194558697"/>
      <w:r w:rsidRPr="00E87003">
        <w:t>НПФ «Достойное БУДУЩЕЕ» опубликовал финансовые результаты за 2024 год. Как следует из бухгалтерской отчетности, объем активов фонда на 31 декабря 2024 года достиг суммы в 318,37 млрд рублей, что на 5% превышает показатель 2023 года. Существенный рост продемонстрировали денежные средства и их эквиваленты - 45,7 млрд рублей против 18,8 млрд рублей годом ранее, что связано с увеличением доходности инвестиционной деятельности и оптимизацией портфеля активов.</w:t>
      </w:r>
      <w:bookmarkEnd w:id="37"/>
    </w:p>
    <w:p w14:paraId="10913632" w14:textId="77777777" w:rsidR="005F79C8" w:rsidRPr="00E87003" w:rsidRDefault="005F79C8" w:rsidP="005F79C8">
      <w:r w:rsidRPr="00E87003">
        <w:t>В 2024 году НПФ «Достойное БУДУЩЕЕ» продемонстрировал уверенный рост собственного капитала. За год этот показатель увеличился на 18,1% и составил 22,2 млрд рублей.</w:t>
      </w:r>
    </w:p>
    <w:p w14:paraId="2DD8E6DE" w14:textId="77777777" w:rsidR="005F79C8" w:rsidRPr="00E87003" w:rsidRDefault="005F79C8" w:rsidP="005F79C8">
      <w:r w:rsidRPr="00E87003">
        <w:t>В условиях высокой волатильности на фондовом рынке и значительного роста процентных ставок, фонд смог показать для клиентов результат инвестирования пенсионных накоплений и размещения пенсионных резервов, превышающий основные рыночные индикаторы1. За 2024 год по договорам долгосрочных сбережений НПФ «Достойное БУДУЩЕЕ» начислил своим клиентам на счета долгосрочных сбережений доход по ставке 22,01% годовых. Доходность по пенсионным счетам негосударственного пенсионного обеспечения (НПО) составила: по стратегии «Базовая» - 11,50%, по стратегии «Сбалансированная» - 11,39%, по стратегии «Доходная» - 4,39%, по стратегии «Доходная+» - 5,39%, по стратегии «МГД» - 9,86%. Доходность по договорам обязательного пенсионного страхования (ОПС) составила 7,87%.</w:t>
      </w:r>
    </w:p>
    <w:p w14:paraId="751DB028" w14:textId="77777777" w:rsidR="005F79C8" w:rsidRPr="00E87003" w:rsidRDefault="005F79C8" w:rsidP="005F79C8">
      <w:r w:rsidRPr="00E87003">
        <w:t>Общая сумма выплат клиентам фонда в 2024 году увеличилась, по сравнению с 2023 годом, на 17% и составила 8,9 млрд рублей.</w:t>
      </w:r>
    </w:p>
    <w:p w14:paraId="0EFBE2C0" w14:textId="77777777" w:rsidR="005F79C8" w:rsidRPr="00E87003" w:rsidRDefault="005F79C8" w:rsidP="005F79C8">
      <w:r w:rsidRPr="00E87003">
        <w:t>НПФ «Достойное БУДУЩЕЕ» регулярно успешно проходит стресс-тестирование по обновленным сценариям Банка России со значительным превышением минимального порога, установленного регулятором. Ранее Национальное рейтинговое агентство (НРА) подтвердило некредитный рейтинг надежности и качества услуг НПФ «Достойное БУДУЩЕЕ» на уровне «AAА ru.pf «по национальной шкале негосударственных пенсионных фондов. Прогноз «стабильный» свидетельствует о том, что в течение последующих 12 месяцев агентство ожидает сохранение текущего уровня рейтинга фонда.</w:t>
      </w:r>
    </w:p>
    <w:p w14:paraId="703688BC" w14:textId="77777777" w:rsidR="005F79C8" w:rsidRPr="00E87003" w:rsidRDefault="005F79C8" w:rsidP="005F79C8">
      <w:r w:rsidRPr="00E87003">
        <w:t>С полным текстом отчетности фонда по итогам работы за прошлый год можно ознакомиться на официальном сайте АО «НПФ «Достойное БУДУЩЕЕ» в разделе «Раскрытие информации».</w:t>
      </w:r>
    </w:p>
    <w:p w14:paraId="77287BD8" w14:textId="77777777" w:rsidR="005F79C8" w:rsidRPr="00E87003" w:rsidRDefault="005F79C8" w:rsidP="005F79C8">
      <w:r w:rsidRPr="00E87003">
        <w:t>_______________</w:t>
      </w:r>
    </w:p>
    <w:p w14:paraId="67240EDE" w14:textId="77777777" w:rsidR="005F79C8" w:rsidRPr="00E87003" w:rsidRDefault="005F79C8" w:rsidP="005F79C8">
      <w:r w:rsidRPr="00E87003">
        <w:lastRenderedPageBreak/>
        <w:t>1 Консервативный индекс пенсионных накоплений (RUPCI) в 2024 году составил 3,7%; сбалансированный индекс пенсионных накоплений (RUPMI) - 3,6%.</w:t>
      </w:r>
    </w:p>
    <w:p w14:paraId="6D5B4F29" w14:textId="77777777" w:rsidR="007A2019" w:rsidRPr="00E87003" w:rsidRDefault="005F79C8" w:rsidP="005F79C8">
      <w:hyperlink r:id="rId11" w:history="1">
        <w:r w:rsidRPr="00E87003">
          <w:rPr>
            <w:rStyle w:val="a3"/>
          </w:rPr>
          <w:t>http://pbroker.ru/?p=79898</w:t>
        </w:r>
      </w:hyperlink>
    </w:p>
    <w:p w14:paraId="62F8C30A" w14:textId="20FC00CE" w:rsidR="005F79C8" w:rsidRPr="00E87003" w:rsidRDefault="00C64C64" w:rsidP="005F79C8">
      <w:pPr>
        <w:pStyle w:val="2"/>
      </w:pPr>
      <w:bookmarkStart w:id="38" w:name="_Toc194558698"/>
      <w:bookmarkEnd w:id="32"/>
      <w:r>
        <w:t>НАПФ</w:t>
      </w:r>
      <w:r w:rsidR="005F79C8" w:rsidRPr="00E87003">
        <w:t>, 02.04.2025, Кешбэк на счет ПДС доступен в СЕВЕРГАЗБАНКЕ и НПФ ГАЗФОНД пенсионные накопления</w:t>
      </w:r>
      <w:bookmarkEnd w:id="38"/>
    </w:p>
    <w:p w14:paraId="7C5F4D3E" w14:textId="77777777" w:rsidR="005F79C8" w:rsidRPr="00E87003" w:rsidRDefault="005F79C8" w:rsidP="00CC78E6">
      <w:pPr>
        <w:pStyle w:val="3"/>
      </w:pPr>
      <w:bookmarkStart w:id="39" w:name="_Toc194558699"/>
      <w:r w:rsidRPr="00E87003">
        <w:t>В СЕВЕРГАЗБАНКЕ доступен инновационный сервис, позволяющий клиентам переводить полученный кешбэк на свой счет Программы долгосрочных сбережений в НПФ ГАЗФОНД пенсионные накопления. Автоматическое перечисление кешбэка открывает новые возможности для накопления средств на будущее и является удобным инструментом для тех, кто планирует обеспечить себе финансовую стабильность.</w:t>
      </w:r>
      <w:bookmarkEnd w:id="39"/>
    </w:p>
    <w:p w14:paraId="6F2331F7" w14:textId="77777777" w:rsidR="005F79C8" w:rsidRPr="00E87003" w:rsidRDefault="005F79C8" w:rsidP="005F79C8">
      <w:r w:rsidRPr="00E87003">
        <w:t>С помощью данного сервиса клиенты могут автоматически направлять кешбэк, полученный по любым картам СЕВЕРГАЗБАНКА, на пополнение своих личных счетов в рамках негосударственного пенсионного обеспечения и Программы долгосрочных сбережений (ПДС). Такой подход ускоряет процесс накопления средств, поскольку кешбэк не используется для повседневных нужд, а сохраняется для формирования долгосрочного капитала.</w:t>
      </w:r>
    </w:p>
    <w:p w14:paraId="3440C70B" w14:textId="77777777" w:rsidR="005F79C8" w:rsidRPr="00E87003" w:rsidRDefault="005F79C8" w:rsidP="005F79C8">
      <w:r w:rsidRPr="00E87003">
        <w:t>Для подключения услуги автоматического перечисления кешбэка на пенсионный счет необходимо подать заявление в офисах СЕВЕРГАЗБАНКА или написать заявление при выдаче карты в офисах НПФ ГАЗФОНД пенсионные накопления. Эта возможность доступна владельцам любой карты СЕВЕРГАЗБАНКА, включая кобрендинговую карту, разработанную совместно с НПФ ГАЗФОНД пенсионные накопления. Начисление кешбэка осуществляется в начале каждого нового месяца и происходит автоматически.</w:t>
      </w:r>
    </w:p>
    <w:p w14:paraId="3420C3A5" w14:textId="77777777" w:rsidR="005F79C8" w:rsidRPr="00E87003" w:rsidRDefault="005F79C8" w:rsidP="005F79C8">
      <w:r w:rsidRPr="00E87003">
        <w:t>Стратегическое партнерство между СЕВЕРГАЗБАНКОМ и НПФ ГАЗФОНД пенсионные накопления позволяет интегрировать банковские и пенсионные сервисы для удобства клиентов. Такое взаимодействие делает возможным разработку для клиентов комплексных решений, одним из примеров такого стратегического сотрудничества является кешбэк на ПДС и кобрендинговая карта.</w:t>
      </w:r>
    </w:p>
    <w:p w14:paraId="67FE51D4" w14:textId="77777777" w:rsidR="005F79C8" w:rsidRPr="00E87003" w:rsidRDefault="005F79C8" w:rsidP="005F79C8">
      <w:r w:rsidRPr="00E87003">
        <w:t>«Кешбэк до 20% в СЕВЕРГАЗБАНКЕ начисляется в рублях, а не баллах, что делает его использование простым и понятным. Не нужно беспокоиться о сложных схемах обмена или конвертации - все максимально удобно. Сервис перевода кешбэка на счет по Программе долгосрочных сбережений в НПФ ГАЗФОНД пенсионные накопления значительно расширяет возможности наших клиентов», - комментирует председатель правления СЕВЕРГАЗБАНКА Денис Лукичев.</w:t>
      </w:r>
    </w:p>
    <w:p w14:paraId="22961765" w14:textId="77777777" w:rsidR="005F79C8" w:rsidRPr="00E87003" w:rsidRDefault="005F79C8" w:rsidP="005F79C8">
      <w:r w:rsidRPr="00E87003">
        <w:t>«У Фонда и СЕВЕРГАЗБАНКА общая цель: сделать клиентский путь вхождения в Программу долгосрочных сбережений легким и эффективным. Совместный проект предоставляет клиентам возможность комфортно увеличить пенсионные накопления в рамках Программы долгосрочных сбережений за счет перевода кешбэка с кобрендинговой карты, тем самым формируя стабильное финансовое будущее для себя и своей семьи», - отметил генеральный директор АО «НПФ ГАЗФОНД пенсионные накопления» Вячеслав Дусалеев.</w:t>
      </w:r>
    </w:p>
    <w:p w14:paraId="730C4E50" w14:textId="77777777" w:rsidR="005F79C8" w:rsidRPr="00E87003" w:rsidRDefault="005F79C8" w:rsidP="005F79C8">
      <w:hyperlink r:id="rId12" w:history="1">
        <w:r w:rsidRPr="00E87003">
          <w:rPr>
            <w:rStyle w:val="a3"/>
          </w:rPr>
          <w:t>https://www.napf.ru/news/napf_news_market/keshbek-na-schet-pds-dostupen-v-severgazbanke-i-npf-gazfond-pensionnye-nakopleniya/</w:t>
        </w:r>
      </w:hyperlink>
    </w:p>
    <w:p w14:paraId="3A253DFC" w14:textId="77777777" w:rsidR="005F79C8" w:rsidRPr="00E87003" w:rsidRDefault="005F79C8" w:rsidP="005F79C8">
      <w:pPr>
        <w:pStyle w:val="2"/>
      </w:pPr>
      <w:bookmarkStart w:id="40" w:name="a3"/>
      <w:bookmarkStart w:id="41" w:name="_Hlk194558066"/>
      <w:bookmarkStart w:id="42" w:name="_Toc194558700"/>
      <w:bookmarkEnd w:id="40"/>
      <w:r w:rsidRPr="00E87003">
        <w:t>РБК, 02.04.2025, МНПФ «БОЛЬШОЙ» выступил партнером VIII конференции ФИНФИН-2025</w:t>
      </w:r>
      <w:bookmarkEnd w:id="42"/>
    </w:p>
    <w:p w14:paraId="41C7CE2E" w14:textId="77777777" w:rsidR="005F79C8" w:rsidRPr="00E87003" w:rsidRDefault="005F79C8" w:rsidP="00CC78E6">
      <w:pPr>
        <w:pStyle w:val="3"/>
      </w:pPr>
      <w:bookmarkStart w:id="43" w:name="_Toc194558701"/>
      <w:r w:rsidRPr="00E87003">
        <w:t>МНПФ «БОЛЬШОЙ» выступил партнером VIII конференции по финансовой грамотности и финансовой доступности ФИНФИН-2025, посвященной теме повышения финграмотности среди трудовых коллективов. Мероприятие, организованное Национальной ассоциацией участников микрофинансового рынка (НАУМИР) в партнерстве с Ассоциацией развития финансовой грамотности (АРФГ), прошло в формате открытого диалога между представителями финансовых институтов, государственных органов, трудовых коллективов и экспертного сообщества. На площадке мероприятия эксперты МНПФ «БОЛЬШОЙ представили свои финансовые решение, которые позволяют россиянам формировать долгосрочные сбережения.</w:t>
      </w:r>
      <w:bookmarkEnd w:id="43"/>
    </w:p>
    <w:p w14:paraId="293D8830" w14:textId="77777777" w:rsidR="005F79C8" w:rsidRPr="00E87003" w:rsidRDefault="005F79C8" w:rsidP="005F79C8">
      <w:r w:rsidRPr="00E87003">
        <w:t>В формате индивидуальных консультаций представители МНПФ «БОЛЬШОЙ» рассказали интересующимся участникам конференции о корпоративной пенсионной программе (КПП), которая позволяет работодателям формировать дополнительный финансовый капитал для своих сотрудников. На сегодняшний день КПП является как инструментом мотивации персонала, так и удержания.</w:t>
      </w:r>
    </w:p>
    <w:p w14:paraId="389E6C3C" w14:textId="77777777" w:rsidR="005F79C8" w:rsidRPr="00E87003" w:rsidRDefault="005F79C8" w:rsidP="005F79C8">
      <w:r w:rsidRPr="00E87003">
        <w:t>Во время консультаций эксперты фонда отметили, что фиксируют отдельный интерес к финансовым инструментам от НПФ в рамках интеграции в периметр КПП новой программы долгосрочных сбережений, которая позволяет сотрудникам получить софинансирование как со стороны работодателя, так и государства. Помимо господдержки программа долгосрочных сбережений позволяет участникам получить повышенный налоговый вычет, перевести накопительную пенсию в программу в качестве единовременного взноса. ПДС также предусматривает систему получения выплат, в том числе, в особенных жизненных ситуациях.</w:t>
      </w:r>
    </w:p>
    <w:p w14:paraId="30AB089F" w14:textId="77777777" w:rsidR="005F79C8" w:rsidRPr="00E87003" w:rsidRDefault="005F79C8" w:rsidP="005F79C8">
      <w:r w:rsidRPr="00E87003">
        <w:t>Эксперты МНПФ «БОЛЬШОЙ» также рассказали о возможностях подключить финансовые решения от фонда, поделились практическими кейсами и расчетами.</w:t>
      </w:r>
    </w:p>
    <w:p w14:paraId="2C7698E6" w14:textId="77777777" w:rsidR="005F79C8" w:rsidRPr="00E87003" w:rsidRDefault="005F79C8" w:rsidP="005F79C8">
      <w:hyperlink r:id="rId13" w:history="1">
        <w:r w:rsidRPr="00E87003">
          <w:rPr>
            <w:rStyle w:val="a3"/>
          </w:rPr>
          <w:t>https://companies.rbc.ru/news/eDpitI9dn1/mnpf-bolshoj-vyistupil-partnerom-viii-konferentsii-finfin-2025/</w:t>
        </w:r>
      </w:hyperlink>
    </w:p>
    <w:p w14:paraId="5CD480ED" w14:textId="77777777" w:rsidR="0072580F" w:rsidRPr="00E87003" w:rsidRDefault="0072580F" w:rsidP="0072580F">
      <w:pPr>
        <w:pStyle w:val="2"/>
      </w:pPr>
      <w:bookmarkStart w:id="44" w:name="a4"/>
      <w:bookmarkStart w:id="45" w:name="_Hlk194558092"/>
      <w:bookmarkStart w:id="46" w:name="_Toc194558702"/>
      <w:bookmarkEnd w:id="41"/>
      <w:bookmarkEnd w:id="44"/>
      <w:r w:rsidRPr="00E87003">
        <w:lastRenderedPageBreak/>
        <w:t>Газета.ru, 02.04.2025, Стало известно, сколько россиян помогают финансово пожилым родственникам</w:t>
      </w:r>
      <w:bookmarkEnd w:id="46"/>
    </w:p>
    <w:p w14:paraId="5F62E7FA" w14:textId="77777777" w:rsidR="0072580F" w:rsidRPr="00E87003" w:rsidRDefault="0072580F" w:rsidP="00CC78E6">
      <w:pPr>
        <w:pStyle w:val="3"/>
      </w:pPr>
      <w:bookmarkStart w:id="47" w:name="_Toc194558703"/>
      <w:r w:rsidRPr="00E87003">
        <w:t>Подавляющее большинство россиян (83%) оказывают финансовую помощь пожилым родственникам. При этом почти половина россиян (46%) рассказали, что регулярно уделяют внимание своим возрастным близким (звонят, вместе проводят время), а чуть больше трети (34%) помогают с решением бытовых вопросов. К таким выводам пришли НПФ «Достойное БУДУЩЕЕ» и проект по финансовому просвещению «ГраФин», проведя исследование, с результатами которого ознакомилась «Газета.</w:t>
      </w:r>
      <w:r w:rsidR="00C81799" w:rsidRPr="00E87003">
        <w:t>ru</w:t>
      </w:r>
      <w:r w:rsidRPr="00E87003">
        <w:t>».</w:t>
      </w:r>
      <w:bookmarkEnd w:id="47"/>
    </w:p>
    <w:p w14:paraId="706A4087" w14:textId="77777777" w:rsidR="0072580F" w:rsidRPr="00E87003" w:rsidRDefault="0072580F" w:rsidP="0072580F">
      <w:r w:rsidRPr="00E87003">
        <w:t>Размер ежемесячных расходов респондентов на помощь пожилым родственникам варьируется: 15% тратят от 1 до 2 тысяч рублей, 22% — от 2 до 5 тысяч рублей, 28% опрошенных выделяют на это направление в своем бюджете от 5 до 10 тысяч рублей, 19% — свыше 10 тысяч рублей. Примечательно, что 17% опрошенных заявили, что не несут никаких затрат на помощь пожилым родственникам.</w:t>
      </w:r>
    </w:p>
    <w:p w14:paraId="373A6BA9" w14:textId="77777777" w:rsidR="0072580F" w:rsidRPr="00E87003" w:rsidRDefault="0072580F" w:rsidP="0072580F">
      <w:r w:rsidRPr="00E87003">
        <w:t>Отвечая на вопрос «На что вы тратите денежные средства?», опрошенные респонденты, в первую очередь, выделили оплату коммунальных услуг (37%). В топ популярных расходов также вошли оплата продуктов питания (28%), услуг специалистов по уходу, поддержке и клинингу (25%), оплата лекарств и медицинских процедур (20%). 14% опрошенных отметили, что оплачивают своим близким родственникам досуг: посещение театров, концертов, музеев и других культурно-развлекательных мест.</w:t>
      </w:r>
    </w:p>
    <w:p w14:paraId="57410C88" w14:textId="77777777" w:rsidR="0072580F" w:rsidRPr="00E87003" w:rsidRDefault="0072580F" w:rsidP="0072580F">
      <w:r w:rsidRPr="00E87003">
        <w:t xml:space="preserve">Опрос показал, что чуть более трети россиян (38%) оказывают помощь пожилым родственникам по мере необходимости, 31% делают это на постоянной основе. И только 9% респондентов сообщили, что никак не помогают своим близким старшего возраста. </w:t>
      </w:r>
    </w:p>
    <w:p w14:paraId="758AAAF3" w14:textId="77777777" w:rsidR="005F79C8" w:rsidRDefault="0072580F" w:rsidP="0072580F">
      <w:pPr>
        <w:rPr>
          <w:rStyle w:val="a3"/>
        </w:rPr>
      </w:pPr>
      <w:hyperlink r:id="rId14" w:history="1">
        <w:r w:rsidRPr="00E87003">
          <w:rPr>
            <w:rStyle w:val="a3"/>
          </w:rPr>
          <w:t>https://www.gazeta.ru/family/news/2025/04/02/25453208.shtml</w:t>
        </w:r>
      </w:hyperlink>
    </w:p>
    <w:p w14:paraId="63CD1B8B" w14:textId="77777777" w:rsidR="002557BE" w:rsidRPr="002557BE" w:rsidRDefault="002557BE" w:rsidP="002557BE">
      <w:pPr>
        <w:pStyle w:val="2"/>
      </w:pPr>
      <w:bookmarkStart w:id="48" w:name="_Toc194558704"/>
      <w:bookmarkEnd w:id="45"/>
      <w:r w:rsidRPr="002557BE">
        <w:rPr>
          <w:rStyle w:val="DocumentSource"/>
          <w:i/>
          <w:sz w:val="28"/>
        </w:rPr>
        <w:t>Пенсия PRO, 02.04.2025</w:t>
      </w:r>
      <w:r w:rsidRPr="002557BE">
        <w:t xml:space="preserve">, </w:t>
      </w:r>
      <w:r w:rsidRPr="002557BE">
        <w:rPr>
          <w:rStyle w:val="DocumentName"/>
          <w:rFonts w:eastAsia="Verdana"/>
          <w:b/>
          <w:caps w:val="0"/>
          <w:sz w:val="28"/>
        </w:rPr>
        <w:t>83 % россиян вынуждены помогать родственникам-пенсионерам деньгами - опрос</w:t>
      </w:r>
      <w:bookmarkEnd w:id="48"/>
    </w:p>
    <w:p w14:paraId="4EA699A8" w14:textId="77777777" w:rsidR="002557BE" w:rsidRDefault="002557BE" w:rsidP="002557BE">
      <w:pPr>
        <w:pStyle w:val="3"/>
      </w:pPr>
      <w:bookmarkStart w:id="49" w:name="_Toc194558705"/>
      <w:r>
        <w:t xml:space="preserve">83 % россиян заявили, что оказывают финансовую помощь пожилым родственникам. О результатах опроса рассказали аналитики </w:t>
      </w:r>
      <w:r>
        <w:rPr>
          <w:b/>
        </w:rPr>
        <w:t>НПФ</w:t>
      </w:r>
      <w:r>
        <w:t xml:space="preserve"> «Достойное будущее» и проекта «ГраФин».</w:t>
      </w:r>
      <w:bookmarkEnd w:id="49"/>
      <w:r>
        <w:t xml:space="preserve">  </w:t>
      </w:r>
    </w:p>
    <w:p w14:paraId="6861AD07" w14:textId="77777777" w:rsidR="002557BE" w:rsidRDefault="002557BE" w:rsidP="00AF5B8B">
      <w:r>
        <w:t xml:space="preserve">15 % респондентов выделяют на финансовую поддержку близких пенсионеров от 1 000 до 2 000 рублей; </w:t>
      </w:r>
    </w:p>
    <w:p w14:paraId="0637CE12" w14:textId="77777777" w:rsidR="002557BE" w:rsidRDefault="002557BE" w:rsidP="00AF5B8B">
      <w:r>
        <w:t xml:space="preserve">22 % - от 2 000 до 5 000 рублей; </w:t>
      </w:r>
    </w:p>
    <w:p w14:paraId="25E94AED" w14:textId="77777777" w:rsidR="002557BE" w:rsidRDefault="002557BE" w:rsidP="00AF5B8B">
      <w:r>
        <w:t xml:space="preserve">28 % - от 5 000 до 10 000; </w:t>
      </w:r>
    </w:p>
    <w:p w14:paraId="01EC3D65" w14:textId="77777777" w:rsidR="002557BE" w:rsidRDefault="002557BE" w:rsidP="00AF5B8B">
      <w:r>
        <w:t xml:space="preserve">19 % - свыше 10 000. </w:t>
      </w:r>
    </w:p>
    <w:p w14:paraId="5EFBF041" w14:textId="77777777" w:rsidR="002557BE" w:rsidRDefault="002557BE" w:rsidP="00AF5B8B">
      <w:r>
        <w:t>Чаще всего (в 37 % случаев) россияне оплачивают за пожилых родных коммунальные услуги. В топ популярных расходов также вошли покупка продуктов питания (28 %), оплата услуг специалистов по уходу, поддержке и клинингу (25 %), покупка лекарств и медицинских процедур (20 %). Еще 14 % тратятся на досуг родных, например, покупают билеты в кино и театр.</w:t>
      </w:r>
    </w:p>
    <w:p w14:paraId="023CE009" w14:textId="77777777" w:rsidR="002557BE" w:rsidRDefault="002557BE" w:rsidP="00AF5B8B">
      <w:r>
        <w:lastRenderedPageBreak/>
        <w:t>Чуть более трети россиян (38 %) оказывают помощь пожилым родственникам по мере необходимости, 31 % делают это на постоянной основе.</w:t>
      </w:r>
    </w:p>
    <w:p w14:paraId="746B6B65" w14:textId="77777777" w:rsidR="002557BE" w:rsidRDefault="002557BE" w:rsidP="00AF5B8B">
      <w:r>
        <w:t>9,2 % пожилых людей в России с трудом сводят концы с концами, а 8 % не могут купить нужные лекарства, констатируют аналитики проекта «Если быть точным». В 2023 году 2,1 % россиян - это примерно 780 000 человек в возрасте старше трудоспособного - имели доходы ниже прожиточного минимума (ПМ). Хотя пенсии не могут быть ниже ПМ, такая ситуация все же возможна, если пенсионер живет с людьми, у которых доходы еще ниже. Например, так бывает в семьях, где безработные дети живут на пенсию родителей.</w:t>
      </w:r>
    </w:p>
    <w:p w14:paraId="5803EF63" w14:textId="77777777" w:rsidR="002557BE" w:rsidRDefault="002557BE" w:rsidP="00AF5B8B">
      <w:r>
        <w:t>Виктория Мысова</w:t>
      </w:r>
    </w:p>
    <w:p w14:paraId="2A0396E3" w14:textId="77777777" w:rsidR="00087F95" w:rsidRDefault="002557BE" w:rsidP="00AF5B8B">
      <w:hyperlink r:id="rId15" w:history="1">
        <w:r>
          <w:rPr>
            <w:rStyle w:val="DocumentOriginalLink"/>
          </w:rPr>
          <w:t>https://pensiya.pro/news/83-rossiyan-vynuzhdeny-pomogat-rodstvennikam-pensioneram-dengami-opros/</w:t>
        </w:r>
      </w:hyperlink>
    </w:p>
    <w:p w14:paraId="66C047D9" w14:textId="77777777" w:rsidR="00D8557B" w:rsidRPr="00D8557B" w:rsidRDefault="00D8557B" w:rsidP="00D8557B">
      <w:pPr>
        <w:pStyle w:val="2"/>
      </w:pPr>
      <w:bookmarkStart w:id="50" w:name="_Hlk194558118"/>
      <w:bookmarkStart w:id="51" w:name="_Toc194558706"/>
      <w:r w:rsidRPr="00D8557B">
        <w:rPr>
          <w:rStyle w:val="DocumentSource"/>
          <w:i/>
          <w:sz w:val="28"/>
        </w:rPr>
        <w:t xml:space="preserve">Пенсия PRO, 02.04.2025, </w:t>
      </w:r>
      <w:r w:rsidRPr="00D8557B">
        <w:rPr>
          <w:rStyle w:val="DocumentName"/>
          <w:rFonts w:eastAsia="Verdana"/>
          <w:b/>
          <w:caps w:val="0"/>
          <w:sz w:val="28"/>
        </w:rPr>
        <w:t>Взносы клиентов НПФ «Большой» выросли в полтора раза</w:t>
      </w:r>
      <w:bookmarkEnd w:id="51"/>
    </w:p>
    <w:p w14:paraId="79913150" w14:textId="77777777" w:rsidR="00D8557B" w:rsidRDefault="00D8557B" w:rsidP="00D8557B">
      <w:pPr>
        <w:pStyle w:val="3"/>
      </w:pPr>
      <w:bookmarkStart w:id="52" w:name="_Toc194558707"/>
      <w:r>
        <w:t xml:space="preserve">Клиенты </w:t>
      </w:r>
      <w:r>
        <w:rPr>
          <w:b/>
        </w:rPr>
        <w:t>НПФ</w:t>
      </w:r>
      <w:r>
        <w:t xml:space="preserve"> «Большой», входящего в группу «Регион», внесли за год на пенсионные счета 377 млн рублей. Это на 48 % больше, чем в 2023-м. Значительная доля общих взносов приходится на средства по договорам </w:t>
      </w:r>
      <w:r>
        <w:rPr>
          <w:b/>
        </w:rPr>
        <w:t>негосударственного пенсионного обеспечения</w:t>
      </w:r>
      <w:r>
        <w:t xml:space="preserve"> и долгосрочных сбережений: сумма этих вложений составила 305 млн рублей, следует из годовой отчетности фонда.</w:t>
      </w:r>
      <w:bookmarkEnd w:id="52"/>
    </w:p>
    <w:p w14:paraId="521DAFF7" w14:textId="77777777" w:rsidR="00D8557B" w:rsidRDefault="00D8557B" w:rsidP="00D8557B">
      <w:r>
        <w:t xml:space="preserve">Совокупные активы под управлением фонда составили 67 млрд рублей (плюс 5 % за год). Инвестиционный доход превысил 6,9 млрд рублей. Это на 1 млрд рублей больше, чем годом ранее. А вот совокупный доход </w:t>
      </w:r>
      <w:r>
        <w:rPr>
          <w:b/>
        </w:rPr>
        <w:t>НПФ</w:t>
      </w:r>
      <w:r>
        <w:t xml:space="preserve"> сократился. Если в 2023 году он составлял 1,47 млрд, то в 2024-м - 1,36 млрд.</w:t>
      </w:r>
    </w:p>
    <w:p w14:paraId="57F471C4" w14:textId="77777777" w:rsidR="00D8557B" w:rsidRDefault="00D8557B" w:rsidP="00D8557B">
      <w:r>
        <w:t xml:space="preserve">Суммарные выплаты пенсии в рамках </w:t>
      </w:r>
      <w:r>
        <w:rPr>
          <w:b/>
        </w:rPr>
        <w:t>негосударственного пенсионного обеспечения</w:t>
      </w:r>
      <w:r>
        <w:t xml:space="preserve"> и </w:t>
      </w:r>
      <w:r>
        <w:rPr>
          <w:b/>
        </w:rPr>
        <w:t>обязательного пенсионного страхования</w:t>
      </w:r>
      <w:r>
        <w:t xml:space="preserve"> по итогам 2024 года превысили 2,4 млрд рублей.</w:t>
      </w:r>
    </w:p>
    <w:p w14:paraId="57BD60A4" w14:textId="77777777" w:rsidR="00D8557B" w:rsidRDefault="00D8557B" w:rsidP="00D8557B">
      <w:r>
        <w:t xml:space="preserve">По </w:t>
      </w:r>
      <w:r>
        <w:rPr>
          <w:b/>
        </w:rPr>
        <w:t>договорам долгосрочных сбережений</w:t>
      </w:r>
      <w:r>
        <w:t xml:space="preserve"> в 2024 году фонд начислил своим клиентам на счета долгосрочных сбережений доход по ставке 22,01 % годовых. Доходность по пенсионным счетам </w:t>
      </w:r>
      <w:r>
        <w:rPr>
          <w:b/>
        </w:rPr>
        <w:t>негосударственного пенсионного обеспечения</w:t>
      </w:r>
      <w:r>
        <w:t xml:space="preserve"> составила 10,45 %, по договорам </w:t>
      </w:r>
      <w:r>
        <w:rPr>
          <w:b/>
        </w:rPr>
        <w:t>обязательного пенсионного страхования</w:t>
      </w:r>
      <w:r>
        <w:t xml:space="preserve"> - 8,23 %, отметили в фонде.</w:t>
      </w:r>
    </w:p>
    <w:p w14:paraId="173157C3" w14:textId="77777777" w:rsidR="00D8557B" w:rsidRDefault="00D8557B" w:rsidP="00D8557B">
      <w:r>
        <w:t xml:space="preserve">Летом 2025 года </w:t>
      </w:r>
      <w:r>
        <w:rPr>
          <w:b/>
        </w:rPr>
        <w:t>НПФ</w:t>
      </w:r>
      <w:r>
        <w:t xml:space="preserve"> «Большой» перестанет существовать. Его и шесть других фондов дивизиона «Регион» объединят под началом </w:t>
      </w:r>
      <w:r>
        <w:rPr>
          <w:b/>
        </w:rPr>
        <w:t>НПФ «Будущее</w:t>
      </w:r>
      <w:r>
        <w:t>».</w:t>
      </w:r>
    </w:p>
    <w:p w14:paraId="5B0081B2" w14:textId="77777777" w:rsidR="00D8557B" w:rsidRDefault="00D8557B" w:rsidP="00D8557B">
      <w:r>
        <w:t>Виктория Мысова</w:t>
      </w:r>
    </w:p>
    <w:p w14:paraId="3D7C69CC" w14:textId="77777777" w:rsidR="002557BE" w:rsidRPr="00E87003" w:rsidRDefault="00D8557B" w:rsidP="00D8557B">
      <w:hyperlink r:id="rId16" w:history="1">
        <w:r>
          <w:rPr>
            <w:rStyle w:val="DocumentOriginalLink"/>
          </w:rPr>
          <w:t>https://pensiya.pro/news/vznosy-klientov-npf-bolshoj-vyrosli-v-poltora-raza/</w:t>
        </w:r>
      </w:hyperlink>
    </w:p>
    <w:p w14:paraId="68F392AB" w14:textId="77777777" w:rsidR="00111D7C" w:rsidRPr="00E87003" w:rsidRDefault="00111D7C" w:rsidP="00111D7C">
      <w:pPr>
        <w:pStyle w:val="10"/>
      </w:pPr>
      <w:bookmarkStart w:id="53" w:name="_Toc165991073"/>
      <w:bookmarkStart w:id="54" w:name="_Toc99271691"/>
      <w:bookmarkStart w:id="55" w:name="_Toc99318654"/>
      <w:bookmarkStart w:id="56" w:name="_Toc99318783"/>
      <w:bookmarkStart w:id="57" w:name="_Toc396864672"/>
      <w:bookmarkStart w:id="58" w:name="_Toc194558708"/>
      <w:bookmarkEnd w:id="50"/>
      <w:r w:rsidRPr="00E87003">
        <w:lastRenderedPageBreak/>
        <w:t>Программа долгосрочных сбережений</w:t>
      </w:r>
      <w:bookmarkEnd w:id="53"/>
      <w:bookmarkEnd w:id="58"/>
    </w:p>
    <w:p w14:paraId="634EA8F9" w14:textId="77777777" w:rsidR="00F576E4" w:rsidRPr="00E87003" w:rsidRDefault="00F576E4" w:rsidP="00F576E4">
      <w:pPr>
        <w:pStyle w:val="2"/>
      </w:pPr>
      <w:bookmarkStart w:id="59" w:name="a5"/>
      <w:bookmarkStart w:id="60" w:name="_Hlk194558242"/>
      <w:bookmarkStart w:id="61" w:name="_Toc194558709"/>
      <w:bookmarkEnd w:id="59"/>
      <w:r w:rsidRPr="00E87003">
        <w:t>Российская газета, 02.04.2025, Минфин и ЦБ превратят 40% сбережений россиян в "длинные деньги" для страны</w:t>
      </w:r>
      <w:bookmarkEnd w:id="61"/>
    </w:p>
    <w:p w14:paraId="5BB54627" w14:textId="77777777" w:rsidR="00F576E4" w:rsidRPr="00E87003" w:rsidRDefault="00F576E4" w:rsidP="00CC78E6">
      <w:pPr>
        <w:pStyle w:val="3"/>
      </w:pPr>
      <w:bookmarkStart w:id="62" w:name="_Toc194558710"/>
      <w:r w:rsidRPr="00E87003">
        <w:t>Минфин и Банк России задались целью сделать 40% сбережений россиян долгосрочными. Эта цель закреплена в федеральном проекте по развитию финансового рынка РФ, над которыми совместно работают два ведомства. Откладывать деньги на будущее для себя и своих детей люди будут сугубо добровольно, для этого финансовые власти обсуждают целый набор льгот и мер поддержки. России требуются "длинные деньги" на развитие экономики, объяснили "РГ" планы властей эксперты.</w:t>
      </w:r>
      <w:bookmarkEnd w:id="62"/>
    </w:p>
    <w:p w14:paraId="54511D02" w14:textId="77777777" w:rsidR="00F576E4" w:rsidRPr="00E87003" w:rsidRDefault="00F576E4" w:rsidP="00F576E4">
      <w:r w:rsidRPr="00E87003">
        <w:t>"Этот федеральный проект нацелен на увеличение доли долгосрочных сбережений граждан до 40% от общего объема их сбережений. Это важная цель, и мы стараемся создать такие условия и инструменты, чтобы гражданину было интересно инвестировать и сберегать в долгосрочный перспективе", - заявил замминистра финансов Иван Чебесков, выступая на форуме "Эксперт РА".</w:t>
      </w:r>
    </w:p>
    <w:p w14:paraId="46D2C392" w14:textId="77777777" w:rsidR="00F576E4" w:rsidRPr="00E87003" w:rsidRDefault="00F576E4" w:rsidP="00F576E4">
      <w:r w:rsidRPr="00E87003">
        <w:t>В правительстве рассчитывают, что до 40% сбережений россиян станут долгосрочными к 2030 году, пояснил Чебесков корреспонденту "Российской газеты". "В федеральном проекте две основные цели: по сбережениям, а также по утроению капитализации российского фондового рынка до 66% от ВВП России. Обе - к 2030 году. Есть в проекте и другие мероприятия", - уточнил он.</w:t>
      </w:r>
    </w:p>
    <w:p w14:paraId="1EA59CD2" w14:textId="77777777" w:rsidR="00F576E4" w:rsidRPr="00E87003" w:rsidRDefault="00F576E4" w:rsidP="00F576E4">
      <w:r w:rsidRPr="00E87003">
        <w:t>В частности, Минфин и Центробанк завершают проработку концепции развития семейных сбережений, пояснил Иван Чебесков. "Мы хотим в этом году запустить линейку инструментов, которые фокусируются на сбережениях для семьи. И в первую очередь на сбережениях в пользу детей. Это правильная цель, многие люди уже так и делают, но речь идет о запуске механизмов в масштабах всей страны", - сказал замминистра финансов.</w:t>
      </w:r>
    </w:p>
    <w:p w14:paraId="527DE387" w14:textId="77777777" w:rsidR="00F576E4" w:rsidRPr="00E87003" w:rsidRDefault="00F576E4" w:rsidP="00F576E4">
      <w:r w:rsidRPr="00E87003">
        <w:t>Сейчас ЦБ и Минфин собирают предложения со стороны участников фондового рынка, включая брокеров, страховых компаний и негосударственных пенсионных фондов о том, какие формы сбережений могут стать самыми востребованными среди россиян. А также прорабатывают меры господдержки, пояснил замминистра финансов.</w:t>
      </w:r>
    </w:p>
    <w:p w14:paraId="428E9792" w14:textId="77777777" w:rsidR="00F576E4" w:rsidRPr="00E87003" w:rsidRDefault="00F576E4" w:rsidP="00F576E4">
      <w:r w:rsidRPr="00E87003">
        <w:t>В дальнейшем итоги обсуждения лягут в основу правительственного законопроекта, отметил он. "Потребуется вносить изменение в профильное законодательство. В первую очередь - в Налоговый кодекс, потому что налоговый вычет будет увеличен до одного миллиона рублей", - сказал Чебесков.</w:t>
      </w:r>
    </w:p>
    <w:p w14:paraId="73599A99" w14:textId="77777777" w:rsidR="00F576E4" w:rsidRPr="00E87003" w:rsidRDefault="00F576E4" w:rsidP="00F576E4">
      <w:r w:rsidRPr="00E87003">
        <w:t>Кроме повышенного налогового вычета для семейных и детских сбережений будут предусмотрены расширенные гарантии по сохранности. "Будем дальше развивать этот инструментарий", - пообещал Иван Чебесков.</w:t>
      </w:r>
    </w:p>
    <w:p w14:paraId="4F8CC243" w14:textId="77777777" w:rsidR="00F576E4" w:rsidRPr="00E87003" w:rsidRDefault="00F576E4" w:rsidP="00F576E4">
      <w:r w:rsidRPr="00E87003">
        <w:t>Экономике России требуются так называемые "длинные деньги", в том числе для реализации разработанной правительством таксономии проектов технического суверенитета и структурной адаптации экономики, объяснила планы финансовых властей профессор Финансового университета Марина Абрамова.</w:t>
      </w:r>
    </w:p>
    <w:p w14:paraId="660566B8" w14:textId="77777777" w:rsidR="00F576E4" w:rsidRPr="00E87003" w:rsidRDefault="00F576E4" w:rsidP="00F576E4">
      <w:r w:rsidRPr="00E87003">
        <w:lastRenderedPageBreak/>
        <w:t>"Источником этих "длинных денег" являются, в том числе, сбережения населения. Необходимо создать мотивацию преобразования этих сбережений в инвестиции. Это сложный процесс, цель которого достигается не административными решениями, а только на основе мотивации поведения на финансовом рынке", - подчеркнула профессор Абрамова. Пока россиянам больше нравятся обычные банковские вклады, причем на короткие сроки, так что ЦБ и Минфину только предстоит переломить этот тренд.</w:t>
      </w:r>
    </w:p>
    <w:p w14:paraId="78428DA3" w14:textId="77777777" w:rsidR="00F576E4" w:rsidRPr="00E87003" w:rsidRDefault="00F576E4" w:rsidP="00F576E4">
      <w:r w:rsidRPr="00E87003">
        <w:t>Примером того, как можно изменить отношение россиян к теме накоплений является запущенная в 2024 году программа долгосрочных сбережений (ПДС), считает эксперт Президентской академии (РАНХиГС) Татьяна Подольская. В прошлом году она показала отличные результаты, обеспечив участникам доходность до 120% годовых.</w:t>
      </w:r>
    </w:p>
    <w:p w14:paraId="2C409C87" w14:textId="77777777" w:rsidR="00F576E4" w:rsidRPr="00E87003" w:rsidRDefault="00F576E4" w:rsidP="00F576E4">
      <w:r w:rsidRPr="00E87003">
        <w:t>"ПДС предлагает возможность перевести накопительные части пенсий, сформированные в период с 2002 по 2013 год, в новый капитал. Это позволяет людям использовать эту часть своей пенсии уже сегодня. Кроме того, счета в ПДС защищены государством, включая доход от инвестиций, на сумму до 2,8 млн руб. Накопленные средства передаются по наследству согласно законодательству", - перечислила эксперт.</w:t>
      </w:r>
    </w:p>
    <w:p w14:paraId="45C1B9B0" w14:textId="77777777" w:rsidR="00F576E4" w:rsidRPr="00E87003" w:rsidRDefault="00F576E4" w:rsidP="00F576E4">
      <w:r w:rsidRPr="00E87003">
        <w:t>Однако стоит учитывать особенности программы долгосрочных сбережений, предупреждает Татьяна Подольская. "Одна из них - длительный срок ожидания доступа к своим деньгам, стандартный срок действия договора - 15 лет. Если участник достиг пенсионного возраста (для мужчин - 60 лет, для женщин - 55 лет), но 15-летний порог еще не пройден, можно выбрать регулярную выплату на определенный срок либо бессрочно. Также существует риск, что доходы от инвестиций не смогут компенсировать рост инфляции", - заключила она.</w:t>
      </w:r>
    </w:p>
    <w:p w14:paraId="33FD7C31" w14:textId="77777777" w:rsidR="00111D7C" w:rsidRPr="00E87003" w:rsidRDefault="00F576E4" w:rsidP="00F576E4">
      <w:hyperlink r:id="rId17" w:history="1">
        <w:r w:rsidRPr="00E87003">
          <w:rPr>
            <w:rStyle w:val="a3"/>
          </w:rPr>
          <w:t>https://rg.ru/2025/04/02/minfin-i-cb-prevratiat-40-sberezhenij-rossiian-v-dlinnye-dengi-dlia-strany.html</w:t>
        </w:r>
      </w:hyperlink>
    </w:p>
    <w:p w14:paraId="1E9222D1" w14:textId="77777777" w:rsidR="00190EEC" w:rsidRPr="00E87003" w:rsidRDefault="00190EEC" w:rsidP="00190EEC">
      <w:pPr>
        <w:pStyle w:val="2"/>
      </w:pPr>
      <w:bookmarkStart w:id="63" w:name="a6"/>
      <w:bookmarkStart w:id="64" w:name="_Toc194558711"/>
      <w:bookmarkEnd w:id="60"/>
      <w:bookmarkEnd w:id="63"/>
      <w:r w:rsidRPr="00E87003">
        <w:t>РБК Инвестиции, 02.04.2025, Минфин подготовил льготу для работодателей за софинансирование ПДС</w:t>
      </w:r>
      <w:bookmarkEnd w:id="64"/>
    </w:p>
    <w:p w14:paraId="674E7C8C" w14:textId="77777777" w:rsidR="00190EEC" w:rsidRPr="00E87003" w:rsidRDefault="00190EEC" w:rsidP="00CC78E6">
      <w:pPr>
        <w:pStyle w:val="3"/>
      </w:pPr>
      <w:bookmarkStart w:id="65" w:name="_Toc194558712"/>
      <w:r w:rsidRPr="00E87003">
        <w:t>Минфин определился, как стимулировать работодателей к участию в софинансировании расходов работников на уплату добровольных взносов в рамках программы долгосрочных сбережений. Законопроект уже подготовлен.</w:t>
      </w:r>
      <w:bookmarkEnd w:id="65"/>
    </w:p>
    <w:p w14:paraId="490CF1C8" w14:textId="77777777" w:rsidR="00190EEC" w:rsidRPr="00E87003" w:rsidRDefault="00190EEC" w:rsidP="00190EEC">
      <w:r w:rsidRPr="00E87003">
        <w:t>Работодатели, которые будут участвовать в софинансировании программы долгосрочных сбережений (ПДС) своих работников, смогут учитывать эти затраты в расходы и уменьшить налоговую базу. Соответствующий законопроект уже разработан и находится на рассмотрении в правительстве России. Об этом заявил журналистам замминистра финансов Иван Чебесков в кулуарах форума «Стратегическая сессия финансового рынка», организованного рейтинговым агентством «Эксперт РА». Его слова передает корреспондент «РБК Инвестиций».</w:t>
      </w:r>
    </w:p>
    <w:p w14:paraId="10A46737" w14:textId="77777777" w:rsidR="00190EEC" w:rsidRPr="00E87003" w:rsidRDefault="00190EEC" w:rsidP="00190EEC">
      <w:r w:rsidRPr="00E87003">
        <w:t xml:space="preserve">«Это налоговая поправка, которая позволяет компаниям, которые участвуют в софинансировании программы долгосрочных сбережений для своих сотрудников, учитывать этот взнос в виде своих расходов. То есть это не налоговый вычет, это просто возможность, как, например, зарплату, относить [суммы, направленные на софинансирование ПДС] к расходам и соответственно уменьшать налоговую базу </w:t>
      </w:r>
      <w:r w:rsidRPr="00E87003">
        <w:lastRenderedPageBreak/>
        <w:t>таким образом», — заявил Иван Чебесков, отвечая на вопрос о налоговых льготах для работодателей, которые участвуют в софинансировании ПДС.</w:t>
      </w:r>
    </w:p>
    <w:p w14:paraId="0E186F7E" w14:textId="77777777" w:rsidR="00190EEC" w:rsidRPr="00E87003" w:rsidRDefault="00190EEC" w:rsidP="00190EEC">
      <w:r w:rsidRPr="00E87003">
        <w:t>По его словам, законопроект подготовлен и сейчас находится на рассмотрении в правительстве. «Я думаю, что он в ближайшее время должен быть внесен в Государственную думу. Мы рассчитываем на работу с парламентом тоже по этому законопроекту. Надеемся, что он будет принят в эту сессию», — добавил Чебесков.</w:t>
      </w:r>
    </w:p>
    <w:p w14:paraId="5A79E553" w14:textId="77777777" w:rsidR="00190EEC" w:rsidRPr="00E87003" w:rsidRDefault="00190EEC" w:rsidP="00190EEC">
      <w:r w:rsidRPr="00E87003">
        <w:t>В июне 2024 года президент России Владимир Путин на Петербургском международном экономическом форуме предложил ввести налоговые льготы для компаний, которые софинансируют взносы сотрудников в ПДС.</w:t>
      </w:r>
    </w:p>
    <w:p w14:paraId="115F95F8" w14:textId="77777777" w:rsidR="00190EEC" w:rsidRPr="00E87003" w:rsidRDefault="00190EEC" w:rsidP="00190EEC">
      <w:r w:rsidRPr="00E87003">
        <w:t>В июле его поручение правительству и Банку России было официально опубликовано с формулировкой обратить «особое внимание на стимулирование работодателей к участию в софинансировании расходов работников на уплату добровольных взносов в рамках указанной программы». Правительству Российской Федерации совместно с Банком России был установлен срок по этому поручению до 1 октября 2024 года.</w:t>
      </w:r>
    </w:p>
    <w:p w14:paraId="1B090564" w14:textId="77777777" w:rsidR="00190EEC" w:rsidRPr="00E87003" w:rsidRDefault="00190EEC" w:rsidP="00190EEC">
      <w:r w:rsidRPr="00E87003">
        <w:t>Программа долгосрочных сбережений (ПДС) — это добровольный накопительно-сберегательный продукт для граждан с участием государства. Программа заработала в России с 1 января 2024 года. Проект предполагает активное самостоятельное участие граждан в накоплении капитала на пенсию.</w:t>
      </w:r>
    </w:p>
    <w:p w14:paraId="44208CF1" w14:textId="77777777" w:rsidR="00190EEC" w:rsidRPr="00E87003" w:rsidRDefault="00190EEC" w:rsidP="00190EEC">
      <w:r w:rsidRPr="00E87003">
        <w:t>По данным Банка России, на 31 января 2025 года, количество договоров в программе долгосрочных сбережений — 3,3 млн штук, сумма привлеченных средств — ₽245 млрд.</w:t>
      </w:r>
    </w:p>
    <w:p w14:paraId="2FCBDB8F" w14:textId="77777777" w:rsidR="00190EEC" w:rsidRPr="00E87003" w:rsidRDefault="00190EEC" w:rsidP="00190EEC">
      <w:r w:rsidRPr="00E87003">
        <w:t>В России 46% работодателей в прошлом году заявляли о готовности софинансировать программы долгосрочных сбережений своих сотрудников. Из них 22% указывали, что готовы участвовать в софинансировании, только если государство предложит налоговые льготы. В противном случае у компании увеличится база по налогу на прибыль, а также ей придется дополнительно платить страховые социальные взносы, объяснял генеральный директор «СберНПФ» Александр Зарецкий.</w:t>
      </w:r>
    </w:p>
    <w:p w14:paraId="3AB2C6E7" w14:textId="77777777" w:rsidR="00190EEC" w:rsidRPr="00E87003" w:rsidRDefault="00190EEC" w:rsidP="00190EEC">
      <w:r w:rsidRPr="00E87003">
        <w:t>Первый заместитель председателя правления Сбербанка Кирилл Царев, комментируя результаты исследования, уточнял, что большинство работодателей рассчитывают на налоговый режим, аналогичный тому, который действует для классических корпоративных пенсионных программ (КПП).</w:t>
      </w:r>
    </w:p>
    <w:p w14:paraId="77857078" w14:textId="77777777" w:rsidR="00190EEC" w:rsidRPr="00E87003" w:rsidRDefault="00190EEC" w:rsidP="00190EEC">
      <w:r w:rsidRPr="00E87003">
        <w:t>Корпоративная пенсионная программа позволяет компаниям получить следующие преференции:</w:t>
      </w:r>
    </w:p>
    <w:p w14:paraId="5538A2A7" w14:textId="77777777" w:rsidR="00190EEC" w:rsidRPr="00E87003" w:rsidRDefault="00190EEC" w:rsidP="00190EEC">
      <w:r w:rsidRPr="00E87003">
        <w:t>1. Снижение расходов на уплату страховых взносов (на пенсионные взносы не начисляются страховые взносы в размере до 30%);</w:t>
      </w:r>
    </w:p>
    <w:p w14:paraId="78C4D2A1" w14:textId="77777777" w:rsidR="00190EEC" w:rsidRPr="00E87003" w:rsidRDefault="00190EEC" w:rsidP="00190EEC">
      <w:r w:rsidRPr="00E87003">
        <w:t>2. Уменьшение налоговой базы по налогу на прибыль (пенсионные взносы относятся на расходы, ставка налога — 20%).</w:t>
      </w:r>
    </w:p>
    <w:p w14:paraId="31D17542" w14:textId="77777777" w:rsidR="00190EEC" w:rsidRPr="00E87003" w:rsidRDefault="00190EEC" w:rsidP="00190EEC">
      <w:r w:rsidRPr="00E87003">
        <w:t xml:space="preserve">По мнению Царева, такая возможность [получения льгот при включении в софинансирование ПДС] будет интересна в первую очередь малому и среднему бизнесу, у которого не всегда есть ресурсы для запуска классических КПП. «При этом в таких компаниях часто есть запрос на социальную ответственность и помощь сотрудникам в формировании капитала на будущее. Закон уже предусматривает возможность софинансирования по ПДС со стороны работодателей. Комфортный </w:t>
      </w:r>
      <w:r w:rsidRPr="00E87003">
        <w:lastRenderedPageBreak/>
        <w:t>налоговый режим для работодателей позволит этой норме заработать наиболее эффективно», — говорил Кирилл Царев.</w:t>
      </w:r>
    </w:p>
    <w:p w14:paraId="4B8C27BD" w14:textId="77777777" w:rsidR="00F576E4" w:rsidRDefault="00190EEC" w:rsidP="00190EEC">
      <w:pPr>
        <w:rPr>
          <w:rStyle w:val="a3"/>
        </w:rPr>
      </w:pPr>
      <w:hyperlink r:id="rId18" w:history="1">
        <w:r w:rsidRPr="00E87003">
          <w:rPr>
            <w:rStyle w:val="a3"/>
          </w:rPr>
          <w:t>https://www.rbc.ru/quote/news/article/67ecfbad9a79472ecca9f8f1</w:t>
        </w:r>
      </w:hyperlink>
    </w:p>
    <w:p w14:paraId="5ADD516E" w14:textId="77777777" w:rsidR="004F1F25" w:rsidRPr="00E87003" w:rsidRDefault="004F1F25" w:rsidP="004F1F25">
      <w:pPr>
        <w:pStyle w:val="2"/>
      </w:pPr>
      <w:bookmarkStart w:id="66" w:name="_Toc194558713"/>
      <w:r w:rsidRPr="00E87003">
        <w:t>Inc. Russia, 02.04.2025, Минфин предложил налоговую льготу для работодателей, которые софинансируют ПДС сотрудников</w:t>
      </w:r>
      <w:bookmarkEnd w:id="66"/>
    </w:p>
    <w:p w14:paraId="7789C5A5" w14:textId="77777777" w:rsidR="004F1F25" w:rsidRPr="00E87003" w:rsidRDefault="004F1F25" w:rsidP="00CC78E6">
      <w:pPr>
        <w:pStyle w:val="3"/>
      </w:pPr>
      <w:bookmarkStart w:id="67" w:name="_Toc194558714"/>
      <w:r w:rsidRPr="00E87003">
        <w:t>На рассмотрении в правительстве России находится законопроект, в соответствии с которым работодатели, участвующие в софинансировании программы долгосрочных сбережений (ПДС) своих работников, смогут учитывать эти затраты в расходы и уменьшить налоговую базу. Об этом рассказал замминистра финансов Иван Чебесков.</w:t>
      </w:r>
      <w:bookmarkEnd w:id="67"/>
    </w:p>
    <w:p w14:paraId="7B703F3A" w14:textId="77777777" w:rsidR="004F1F25" w:rsidRPr="00E87003" w:rsidRDefault="004F1F25" w:rsidP="004F1F25">
      <w:r w:rsidRPr="00E87003">
        <w:t>По его словам, эта налоговая поправка позволит компаниям, которые участвуют в софинансировании ПДС для своих сотрудников, учитывать такие взносы в виде расходов.</w:t>
      </w:r>
    </w:p>
    <w:p w14:paraId="1C3690AE" w14:textId="77777777" w:rsidR="004F1F25" w:rsidRPr="00E87003" w:rsidRDefault="004F1F25" w:rsidP="004F1F25">
      <w:r w:rsidRPr="00E87003">
        <w:t>Эксперт сообщил, что законопроект уже подготовлен и сейчас находится на рассмотрении в правительстве. «Я думаю, что он в ближайшее время должен быть внесен в Государственную думу. Надеемся, что он будет принят в эту сессию», — добавил Чебесков.</w:t>
      </w:r>
    </w:p>
    <w:p w14:paraId="74591962" w14:textId="77777777" w:rsidR="004F1F25" w:rsidRPr="00E87003" w:rsidRDefault="004F1F25" w:rsidP="004F1F25">
      <w:r w:rsidRPr="00E87003">
        <w:t>Программа долгосрочных сбережений (ПДС) — это добровольный накопительно-сберегательный продукт для граждан с участием государства. Она действует в России с 1 января 2024 года. Проект предполагает активное самостоятельное участие граждан в накоплении капитала на пенсию.</w:t>
      </w:r>
    </w:p>
    <w:p w14:paraId="192FAAF5" w14:textId="77777777" w:rsidR="004F1F25" w:rsidRPr="00E87003" w:rsidRDefault="004F1F25" w:rsidP="004F1F25">
      <w:r w:rsidRPr="00E87003">
        <w:t>По данным Центробанка на 31 января 2025 года, количество договоров в программе долгосрочных сбережений составляло 3,3 млн штук, а сумма привлеченных средств достигла 245 млрд руб.</w:t>
      </w:r>
    </w:p>
    <w:p w14:paraId="54BE3146" w14:textId="77777777" w:rsidR="004F1F25" w:rsidRPr="00E87003" w:rsidRDefault="004F1F25" w:rsidP="004F1F25">
      <w:r w:rsidRPr="00E87003">
        <w:t>В прошлом году в России 46% работодателей заявляли о готовности софинансировать программы долгосрочных сбережений своих сотрудников. При этом 22% из них указывали, что примут участие в софинансировании, только при условии, что государство предложит налоговые льготы.</w:t>
      </w:r>
    </w:p>
    <w:p w14:paraId="1F753415" w14:textId="77777777" w:rsidR="004F1F25" w:rsidRPr="00E87003" w:rsidRDefault="004F1F25" w:rsidP="004F1F25">
      <w:r w:rsidRPr="00E87003">
        <w:t>В противном случае у компании увеличится база по налогу на прибыль, а также ей придется дополнительно платить страховые социальные взносы, пояснил генеральный директор «СберНПФ» Александр Зарецкий.</w:t>
      </w:r>
    </w:p>
    <w:p w14:paraId="6E5BC173" w14:textId="77777777" w:rsidR="004F1F25" w:rsidRPr="00E87003" w:rsidRDefault="004F1F25" w:rsidP="004F1F25">
      <w:r w:rsidRPr="00E87003">
        <w:t>Первый заместитель председателя правления Сбербанка Кирилл Царев, комментируя результаты исследования, уточнял, что большинство работодателей рассчитывают на налоговый режим, аналогичный тому, который действует для классических корпоративных пенсионных программ (КПП).</w:t>
      </w:r>
    </w:p>
    <w:p w14:paraId="51193EFB" w14:textId="77777777" w:rsidR="004F1F25" w:rsidRPr="00E87003" w:rsidRDefault="004F1F25" w:rsidP="004F1F25">
      <w:r w:rsidRPr="00E87003">
        <w:t>Корпоративная пенсионная программа позволяет компаниям получить следующие преференции:</w:t>
      </w:r>
    </w:p>
    <w:p w14:paraId="5091F3BB" w14:textId="77777777" w:rsidR="004F1F25" w:rsidRPr="00E87003" w:rsidRDefault="004F1F25" w:rsidP="004F1F25">
      <w:r w:rsidRPr="00E87003">
        <w:t>снизить расходы на уплату страховых взносов (на пенсионные взносы не начисляются страховые взносы в размере до 30%);</w:t>
      </w:r>
    </w:p>
    <w:p w14:paraId="0A4030E4" w14:textId="77777777" w:rsidR="004F1F25" w:rsidRPr="00E87003" w:rsidRDefault="004F1F25" w:rsidP="004F1F25">
      <w:r w:rsidRPr="00E87003">
        <w:lastRenderedPageBreak/>
        <w:t>уменьшить налоговую базу по налогу на прибыль (пенсионные взносы относятся на расходы, ставка налога — 20%).</w:t>
      </w:r>
    </w:p>
    <w:p w14:paraId="5BA05A24" w14:textId="77777777" w:rsidR="004F1F25" w:rsidRPr="00E87003" w:rsidRDefault="004F1F25" w:rsidP="004F1F25">
      <w:r w:rsidRPr="00E87003">
        <w:t>Царев считает, что такая возможность будет интересна в первую очередь малому и среднему бизнесу, у которого не всегда есть ресурсы для запуска классических КПП. При этом в таких компаниях часто есть запрос на социальную ответственность и помощь сотрудникам в формировании капитала на будущее.</w:t>
      </w:r>
    </w:p>
    <w:p w14:paraId="31AF0393" w14:textId="77777777" w:rsidR="004F1F25" w:rsidRPr="00E87003" w:rsidRDefault="004F1F25" w:rsidP="004F1F25">
      <w:r w:rsidRPr="00E87003">
        <w:t>«Закон уже предусматривает возможность софинансирования по ПДС со стороны работодателей. Комфортный налоговый режим позволит этой норме заработать наиболее эффективно», — резюмировал эксперт.</w:t>
      </w:r>
    </w:p>
    <w:p w14:paraId="2228F8D8" w14:textId="77777777" w:rsidR="004F1F25" w:rsidRPr="00E87003" w:rsidRDefault="004F1F25" w:rsidP="004F1F25">
      <w:hyperlink r:id="rId19" w:history="1">
        <w:r w:rsidRPr="00E87003">
          <w:rPr>
            <w:rStyle w:val="a3"/>
          </w:rPr>
          <w:t>https://incrussia.ru/news/minfin-predlozhil-nalogovuyu-lgotu-dlya-rabotodatelej-kotorye-sofinansiruyut-pds-sotrudnikov/</w:t>
        </w:r>
      </w:hyperlink>
      <w:r w:rsidRPr="00E87003">
        <w:t xml:space="preserve"> </w:t>
      </w:r>
    </w:p>
    <w:p w14:paraId="18DF332A" w14:textId="77777777" w:rsidR="00C81799" w:rsidRPr="00E87003" w:rsidRDefault="00C81799" w:rsidP="00C81799">
      <w:pPr>
        <w:pStyle w:val="2"/>
      </w:pPr>
      <w:bookmarkStart w:id="68" w:name="a7"/>
      <w:bookmarkStart w:id="69" w:name="_Toc194558715"/>
      <w:bookmarkEnd w:id="68"/>
      <w:r w:rsidRPr="00E87003">
        <w:t>Журнал «КO», 02.04.2025, Минфин и ЦБ РФ обсуждают льготы для развития семейных сбережений</w:t>
      </w:r>
      <w:bookmarkEnd w:id="69"/>
    </w:p>
    <w:p w14:paraId="45BA8AAE" w14:textId="77777777" w:rsidR="00C81799" w:rsidRPr="00E87003" w:rsidRDefault="00C81799" w:rsidP="00CC78E6">
      <w:pPr>
        <w:pStyle w:val="3"/>
      </w:pPr>
      <w:bookmarkStart w:id="70" w:name="_Toc194558716"/>
      <w:r w:rsidRPr="00E87003">
        <w:t>Российские Минфин и Центробанк завершают проработку концепции развития семейных сбережений. Об этом заявил замминистра финансов Иван Чебесков на форуме «Стратегическая сессия финансового рынка».</w:t>
      </w:r>
      <w:bookmarkEnd w:id="70"/>
    </w:p>
    <w:p w14:paraId="2067066F" w14:textId="77777777" w:rsidR="00C81799" w:rsidRPr="00E87003" w:rsidRDefault="00C81799" w:rsidP="00C81799">
      <w:r w:rsidRPr="00E87003">
        <w:t>По его словам, ведомства обсуждают льготы для тех россиян, которые готовы делать долгосрочные сбережения. Разработка привлекательных для россиян инструментов семейных сбережений близка к завершающему этапу.</w:t>
      </w:r>
    </w:p>
    <w:p w14:paraId="2B6EA645" w14:textId="77777777" w:rsidR="00C81799" w:rsidRPr="00E87003" w:rsidRDefault="00C81799" w:rsidP="00C81799">
      <w:r w:rsidRPr="00E87003">
        <w:t>«Мы хотим в этом году запустить линейку инструментов, которые фокусируются на сбережениях для семьи. И в первую очередь на сбережениях в пользу детей. Это правильная цель, многие люди уже так и делают, но речь идет о запуске механизмов в масштабах всей страны», — пояснил Чебесков.</w:t>
      </w:r>
    </w:p>
    <w:p w14:paraId="4EED65A7" w14:textId="77777777" w:rsidR="00C81799" w:rsidRPr="00E87003" w:rsidRDefault="00C81799" w:rsidP="00C81799">
      <w:r w:rsidRPr="00E87003">
        <w:t>Он отметил, что обсуждения лягут в основу правительственного законопроекта. Потребуется вносить изменения в профильное законодательство, в частности в Налоговый кодекс, поскольку налоговый вычет будет увеличен до одного миллиона рублей.</w:t>
      </w:r>
    </w:p>
    <w:p w14:paraId="0461A78A" w14:textId="77777777" w:rsidR="00C81799" w:rsidRPr="00E87003" w:rsidRDefault="00C81799" w:rsidP="00C81799">
      <w:r w:rsidRPr="00E87003">
        <w:t xml:space="preserve">Ранее сообщалось, что за период с 2022 по 2024 год доля российских домохозяйств, имеющих сбережения, увеличилась с 72,9% до 75,5%. Вырос и сам размер сбережений: медианная сумма располагаемых финансовых активов выросла с 20 тысяч рублей до 30 тысяч, а средняя — с 115 тысяч до 145 тысяч рублей. </w:t>
      </w:r>
    </w:p>
    <w:p w14:paraId="316513E1" w14:textId="77777777" w:rsidR="00C81799" w:rsidRPr="00E87003" w:rsidRDefault="00C81799" w:rsidP="00C81799">
      <w:hyperlink r:id="rId20" w:history="1">
        <w:r w:rsidRPr="00E87003">
          <w:rPr>
            <w:rStyle w:val="a3"/>
          </w:rPr>
          <w:t>https://ko.ru/news/minfin-i-tsb-rf-obsuzhdayut-lgoty-dlya-razvitiya-semeynykh-sberezheniy/</w:t>
        </w:r>
      </w:hyperlink>
      <w:r w:rsidRPr="00E87003">
        <w:t xml:space="preserve"> </w:t>
      </w:r>
    </w:p>
    <w:p w14:paraId="0DB861CD" w14:textId="77777777" w:rsidR="005F79C8" w:rsidRPr="00E87003" w:rsidRDefault="005F79C8" w:rsidP="005F79C8">
      <w:pPr>
        <w:pStyle w:val="2"/>
      </w:pPr>
      <w:bookmarkStart w:id="71" w:name="_Hlk194558290"/>
      <w:bookmarkStart w:id="72" w:name="_Toc194558717"/>
      <w:r w:rsidRPr="00E87003">
        <w:lastRenderedPageBreak/>
        <w:t>Национальная Информационная группа, 02.04.2025, Налоговый вычет для семейных сбережений увеличат до 1 млн рублей</w:t>
      </w:r>
      <w:bookmarkEnd w:id="72"/>
    </w:p>
    <w:p w14:paraId="758CBEC0" w14:textId="77777777" w:rsidR="005F79C8" w:rsidRPr="00E87003" w:rsidRDefault="005F79C8" w:rsidP="00CC78E6">
      <w:pPr>
        <w:pStyle w:val="3"/>
      </w:pPr>
      <w:bookmarkStart w:id="73" w:name="_Toc194558718"/>
      <w:r w:rsidRPr="00E87003">
        <w:t>Министерство финансов и Центральный банк России активно занимаются разработкой мер, направленных на стимулирование семейных сбережений в стране.</w:t>
      </w:r>
      <w:bookmarkEnd w:id="73"/>
    </w:p>
    <w:p w14:paraId="337EBE51" w14:textId="77777777" w:rsidR="005F79C8" w:rsidRPr="00E87003" w:rsidRDefault="005F79C8" w:rsidP="005F79C8">
      <w:r w:rsidRPr="00E87003">
        <w:t>Иван Чебесков, заместитель министра финансов, сообщил, что в настоящее время завершается процесс создания привлекательных инструментов для семейных накоплений, которые будут доступны российским гражданам.</w:t>
      </w:r>
    </w:p>
    <w:p w14:paraId="2057F8ED" w14:textId="77777777" w:rsidR="005F79C8" w:rsidRPr="00E87003" w:rsidRDefault="005F79C8" w:rsidP="005F79C8">
      <w:r w:rsidRPr="00E87003">
        <w:t>По словам Чебескова, в текущем году планируется запустить линейку инструментов, ориентированных на семейные сбережения, включая накопление средств для детей. Он отметил, что многие люди уже задумываются о будущем своих детей, но новые механизмы позволят сделать этот процесс более доступным и массовым.</w:t>
      </w:r>
    </w:p>
    <w:p w14:paraId="69F56B38" w14:textId="77777777" w:rsidR="005F79C8" w:rsidRPr="00E87003" w:rsidRDefault="005F79C8" w:rsidP="005F79C8">
      <w:r w:rsidRPr="00E87003">
        <w:t>В процессе разработки новых инструментов Минфин и ЦБ собирают предложения от участников фондового рынка, таких как брокеры, страховые компании и негосударственные пенсионные фонды. Эти идеи помогут определить наиболее востребованные формы сбережений и разработать соответствующие меры государственной поддержки.</w:t>
      </w:r>
    </w:p>
    <w:p w14:paraId="071F3C5B" w14:textId="77777777" w:rsidR="005F79C8" w:rsidRPr="00E87003" w:rsidRDefault="005F79C8" w:rsidP="005F79C8">
      <w:r w:rsidRPr="00E87003">
        <w:t>По итогам обсуждения будет сформирован правительственный законопроект, который потребует внесения изменений в профильное законодательство. В частности, планируется увеличить размер налогового вычета до одного миллиона рублей.</w:t>
      </w:r>
    </w:p>
    <w:p w14:paraId="545B2FF2" w14:textId="77777777" w:rsidR="005F79C8" w:rsidRDefault="005F79C8" w:rsidP="005F79C8">
      <w:hyperlink r:id="rId21" w:history="1">
        <w:r w:rsidRPr="00E87003">
          <w:rPr>
            <w:rStyle w:val="a3"/>
          </w:rPr>
          <w:t>https://www.newsinfo.ru/news/semia/864763/</w:t>
        </w:r>
      </w:hyperlink>
      <w:r w:rsidRPr="00E87003">
        <w:t xml:space="preserve"> </w:t>
      </w:r>
    </w:p>
    <w:p w14:paraId="494B3C4B" w14:textId="77777777" w:rsidR="00C66CFB" w:rsidRDefault="00C66CFB" w:rsidP="00C66CFB">
      <w:pPr>
        <w:pStyle w:val="2"/>
      </w:pPr>
      <w:bookmarkStart w:id="74" w:name="_Hlk194558322"/>
      <w:bookmarkStart w:id="75" w:name="_Toc194558719"/>
      <w:bookmarkEnd w:id="71"/>
      <w:r>
        <w:t>Газета.ru, 02.04.2025, Сбер оценил эффект от налоговых льгот в программе долгосрочных сбережений</w:t>
      </w:r>
      <w:bookmarkEnd w:id="75"/>
    </w:p>
    <w:p w14:paraId="6654D9DE" w14:textId="77777777" w:rsidR="00C66CFB" w:rsidRDefault="00C66CFB" w:rsidP="00CC78E6">
      <w:pPr>
        <w:pStyle w:val="3"/>
      </w:pPr>
      <w:bookmarkStart w:id="76" w:name="_Toc194558720"/>
      <w:r>
        <w:t>Разработанный Минфином законопроект, который предусматривает налоговые льготы для компаний, участвующих в софинансировании взносов сотрудников в программу долгосрочных сбережений (ПДС), способен дополнительно привлечь в программу до 65 млрд рублей. Об этом рассказал старший вице-президент Сбербанка Руслан Вестеровский.</w:t>
      </w:r>
      <w:bookmarkEnd w:id="76"/>
    </w:p>
    <w:p w14:paraId="60370492" w14:textId="77777777" w:rsidR="00C66CFB" w:rsidRDefault="00C66CFB" w:rsidP="00C66CFB">
      <w:r>
        <w:t>Так, согласно инициативе Минфина, расходы работодателей на софинансирование взносов сотрудников в ПДС могут быть учтены в составе затрат, что снизит их налогооблагаемую базу.</w:t>
      </w:r>
    </w:p>
    <w:p w14:paraId="39B73699" w14:textId="77777777" w:rsidR="00C66CFB" w:rsidRDefault="00C66CFB" w:rsidP="00C66CFB">
      <w:r>
        <w:t>«Такое изменение существенно повысит привлекательность ПДС для бизнеса, особенно в условиях острой конкуренции за высококвалифицированные кадры», - отметил Вестеровский.</w:t>
      </w:r>
    </w:p>
    <w:p w14:paraId="44B65217" w14:textId="77777777" w:rsidR="00C66CFB" w:rsidRDefault="00C66CFB" w:rsidP="00C66CFB">
      <w:r>
        <w:t>Согласно данным исследования СберНПФ и платформы Работа.ру, 46% опрошенных компаний готовы поддерживать участие своих сотрудников в ПДС. При этом половина из них рассчитывает на введение налоговых льгот.</w:t>
      </w:r>
    </w:p>
    <w:p w14:paraId="21781346" w14:textId="77777777" w:rsidR="00C66CFB" w:rsidRDefault="00C66CFB" w:rsidP="00C66CFB">
      <w:r>
        <w:t>По оценке Вестеровского, принятие законопроекта способно привести к значительному росту участников программы.</w:t>
      </w:r>
    </w:p>
    <w:p w14:paraId="168832E2" w14:textId="77777777" w:rsidR="00C66CFB" w:rsidRDefault="00C66CFB" w:rsidP="00C66CFB">
      <w:r>
        <w:lastRenderedPageBreak/>
        <w:t>«С нашей точки зрения, эту инициативу можно расширить. Например, ввести налоговый вычет по личным взносам сотрудника в рамках ПДС прямо у работодателя, аналогично действующему порядку в договорах негосударственного пенсионного обеспечения (НПО). По нашим оценкам, в следующем году благодаря этим мерам в ПДС можно будет дополнительно привлечь до 65 млрд рублей», - сообщил топ-менеджер Сбера.</w:t>
      </w:r>
    </w:p>
    <w:p w14:paraId="0214C266" w14:textId="77777777" w:rsidR="00C66CFB" w:rsidRDefault="00C66CFB" w:rsidP="00C66CFB">
      <w:r>
        <w:t>Напомним, программа долгосрочных сбережений действует в России с 2024 года. Участники программы могут получить софинансирование от государства до 360 тыс. рублей за десять лет, а также налоговый вычет до 52 тыс. рублей ежегодно. По данным Банка России на 31 января 2025 года, граждане заключили 3,3 млн договоров ПДС, а сумма привлеченных средств составила 245 млрд рублей.</w:t>
      </w:r>
    </w:p>
    <w:p w14:paraId="717282AB" w14:textId="77777777" w:rsidR="00C66CFB" w:rsidRDefault="00C66CFB" w:rsidP="00C66CFB">
      <w:hyperlink r:id="rId22" w:history="1">
        <w:r w:rsidRPr="00717B09">
          <w:rPr>
            <w:rStyle w:val="a3"/>
          </w:rPr>
          <w:t>https://www.gazeta.ru/business/news/2025/04/02/25462712.shtml</w:t>
        </w:r>
      </w:hyperlink>
      <w:r>
        <w:t xml:space="preserve"> </w:t>
      </w:r>
    </w:p>
    <w:p w14:paraId="510BBC21" w14:textId="77777777" w:rsidR="001C5988" w:rsidRDefault="001C5988" w:rsidP="001C5988">
      <w:pPr>
        <w:pStyle w:val="2"/>
      </w:pPr>
      <w:bookmarkStart w:id="77" w:name="_Toc194558721"/>
      <w:bookmarkEnd w:id="74"/>
      <w:r>
        <w:t>Лента.ру, 02.04.2025, В Сбере оценили инициативу Минфина о налоговых льготах по ПДС для работодателей</w:t>
      </w:r>
      <w:bookmarkEnd w:id="77"/>
    </w:p>
    <w:p w14:paraId="4A3D1F05" w14:textId="77777777" w:rsidR="001C5988" w:rsidRDefault="001C5988" w:rsidP="00CC78E6">
      <w:pPr>
        <w:pStyle w:val="3"/>
      </w:pPr>
      <w:bookmarkStart w:id="78" w:name="_Toc194558722"/>
      <w:r>
        <w:t>Распространение налоговых льгот за участие в ПДС на работодателей и сотрудников может дополнительно привлечь в программу до 65 миллиардов рублей, отметил вице-президент Сбербанка Руслан Вестеровский, комментируя законодательную инициативу Минфина о введении налоговых льгот для компаний, участвующих в софинансировании взносов своих сотрудников в программу долгосрочных сбережений.</w:t>
      </w:r>
      <w:bookmarkEnd w:id="78"/>
    </w:p>
    <w:p w14:paraId="25DBE546" w14:textId="77777777" w:rsidR="001C5988" w:rsidRDefault="001C5988" w:rsidP="001C5988">
      <w:r>
        <w:t>По словам Вестеровского, работодатели смогут учитывать расходы на софинансирование взносов сотрудников в ПДС в составе своих затрат, что приведет к снижению налогооблагаемой базы.</w:t>
      </w:r>
    </w:p>
    <w:p w14:paraId="7FF77BD4" w14:textId="77777777" w:rsidR="001C5988" w:rsidRDefault="001C5988" w:rsidP="001C5988">
      <w:r>
        <w:t>«Такое изменение существенно повысит привлекательность ПДС для бизнеса, особенно в условиях острой конкуренции за высококвалифицированные кадры», — считает Руслан Вестеровский.</w:t>
      </w:r>
    </w:p>
    <w:p w14:paraId="54566635" w14:textId="77777777" w:rsidR="001C5988" w:rsidRDefault="001C5988" w:rsidP="001C5988">
      <w:r>
        <w:t>Исследование, проведенное СберНПФ совместно с платформой «Работа.ру», выявило заинтересованность работодателей в участии в ПДС. Около 46 процентов опрошенных компаний готовы софинансировать ПДС-счета своих сотрудников, половина из них при этом рассчитывает на налоговые льготы.</w:t>
      </w:r>
    </w:p>
    <w:p w14:paraId="119BD234" w14:textId="77777777" w:rsidR="001C5988" w:rsidRDefault="001C5988" w:rsidP="001C5988">
      <w:r>
        <w:t>По оценке Вестеровского, принятие законопроекта способно привести к значительному росту участников программе.</w:t>
      </w:r>
    </w:p>
    <w:p w14:paraId="21DBCB4A" w14:textId="77777777" w:rsidR="001C5988" w:rsidRDefault="001C5988" w:rsidP="001C5988">
      <w:r>
        <w:t>«С нашей точки зрения, эту инициативу можно расширить. Например, ввести налоговый вычет по личным взносам сотрудника в рамках ПДС прямо у работодателя, аналогично действующему порядку в договорах негосударственного пенсионного обеспечения (НПО)», — рассказал топ-менеджер Сбера.</w:t>
      </w:r>
    </w:p>
    <w:p w14:paraId="0812AAC8" w14:textId="77777777" w:rsidR="001C5988" w:rsidRDefault="001C5988" w:rsidP="001C5988">
      <w:r>
        <w:t>Отмечается, что ПДС заработала в России в 2024 году. Участие в программе предполагает возможность «разморозить» средства накопительной пенсии, получить софинансирование от государства до 360 тысяч рублей за десять лет и получить налоговый вычет до 52 тысяч рублей в год. По данным Банка России, на 31 января 2025 года, граждане заключили 3,3 миллиона договоров ПДС на общую сумму 245 миллиардов рублей.</w:t>
      </w:r>
    </w:p>
    <w:p w14:paraId="4F2E666A" w14:textId="77777777" w:rsidR="001C5988" w:rsidRDefault="001C5988" w:rsidP="001C5988">
      <w:hyperlink r:id="rId23" w:history="1">
        <w:r w:rsidRPr="00717B09">
          <w:rPr>
            <w:rStyle w:val="a3"/>
          </w:rPr>
          <w:t>https://lenta.ru/news/2025/04/02/v-sbere-otsenili-initsiativu-minfina-o-nalogovyh-lgotah-po-pds-dlya-rabotodateley/</w:t>
        </w:r>
      </w:hyperlink>
      <w:r>
        <w:t xml:space="preserve"> </w:t>
      </w:r>
    </w:p>
    <w:p w14:paraId="421BCD58" w14:textId="77777777" w:rsidR="001C5988" w:rsidRDefault="001C5988" w:rsidP="001C5988">
      <w:pPr>
        <w:pStyle w:val="2"/>
      </w:pPr>
      <w:bookmarkStart w:id="79" w:name="_Toc194558723"/>
      <w:r>
        <w:t>Современные страховые технологии, 02.04.2025, Комментарий Р. Вестеровского по инициативе Минфина о введении налоговых льгот для компаний</w:t>
      </w:r>
      <w:bookmarkEnd w:id="79"/>
    </w:p>
    <w:p w14:paraId="3FA184D5" w14:textId="77777777" w:rsidR="001C5988" w:rsidRDefault="001C5988" w:rsidP="00CC78E6">
      <w:pPr>
        <w:pStyle w:val="3"/>
      </w:pPr>
      <w:bookmarkStart w:id="80" w:name="_Toc194558724"/>
      <w:r>
        <w:t>Комментарий Руслана Вестеровского, посвященный инициативе Минфина о введении налоговых льгот для компаний, участвующих в софинансировании взносов сотрудников в ПДС. Эту инициативу сегодня анонсировал замминистра финансов Иван Чебесков.</w:t>
      </w:r>
      <w:bookmarkEnd w:id="80"/>
    </w:p>
    <w:p w14:paraId="3271AD61" w14:textId="77777777" w:rsidR="001C5988" w:rsidRDefault="001C5988" w:rsidP="001C5988">
      <w:r>
        <w:t>Старший вице-президент, руководитель блока «Управление благосостоянием» Сбербанка Руслан Вестеровский:</w:t>
      </w:r>
    </w:p>
    <w:p w14:paraId="4E153F73" w14:textId="77777777" w:rsidR="001C5988" w:rsidRDefault="001C5988" w:rsidP="001C5988">
      <w:r>
        <w:t>«Мы, безусловно, поддерживаем эту инициативу Минфина. Новые меры создадут дополнительные стимулы для работодателей участвовать в софинансировании взносов сотрудников в программу долгосрочных сбережений (ПДС). Особенно это актуально в условиях кадрового дефицита, ведь ПДС станет дополнительным инструментом мотивации и удержания сотрудников. Исследование СберНПФ и Работа.ру показывает, что 46% работодателей готовы софинансировать ПДС-счета своих специалистов, причем половина из них рассчитывают на налоговые льготы. С нашей точки зрения, после принятия поправок количество участников ПДС значительно увеличится. Кроме того, считаем важным рассмотреть возможность расширения этой инициативы. Например, ввести налоговый вычет по личным взносам сотрудника в рамках ПДС прямо у работодателя, аналогично действующему порядку в договорах негосударственного пенсионного обеспечения (НПО). По нашим оценкам, в следующем году благодаря этим мерам в ПДС можно будет дополнительно привлечь 65 млрд рублей».</w:t>
      </w:r>
    </w:p>
    <w:p w14:paraId="202FF71F" w14:textId="77777777" w:rsidR="001C5988" w:rsidRPr="00E87003" w:rsidRDefault="001C5988" w:rsidP="001C5988">
      <w:hyperlink r:id="rId24" w:history="1">
        <w:r w:rsidRPr="00717B09">
          <w:rPr>
            <w:rStyle w:val="a3"/>
          </w:rPr>
          <w:t>https://consult-cct.ru/kommentarij-r-vesterovskogo-po-inicziative-minfina-o-vvedenii-nalogovyh-lgot-dlya-kompanij</w:t>
        </w:r>
      </w:hyperlink>
      <w:r>
        <w:t xml:space="preserve"> </w:t>
      </w:r>
    </w:p>
    <w:p w14:paraId="6B2819A8" w14:textId="77777777" w:rsidR="007A2019" w:rsidRPr="00E87003" w:rsidRDefault="007A2019" w:rsidP="007A2019">
      <w:pPr>
        <w:pStyle w:val="2"/>
      </w:pPr>
      <w:bookmarkStart w:id="81" w:name="a8"/>
      <w:bookmarkStart w:id="82" w:name="_Toc194558725"/>
      <w:bookmarkEnd w:id="81"/>
      <w:r w:rsidRPr="00E87003">
        <w:t>Пенсия.pro, 02.04.2025, Сколько заработали крупнейшие НПФ с программой долгосрочных сбережений: рейтинг</w:t>
      </w:r>
      <w:bookmarkEnd w:id="82"/>
    </w:p>
    <w:p w14:paraId="7C6D211D" w14:textId="77777777" w:rsidR="007A2019" w:rsidRPr="00E87003" w:rsidRDefault="007A2019" w:rsidP="00CC78E6">
      <w:pPr>
        <w:pStyle w:val="3"/>
      </w:pPr>
      <w:bookmarkStart w:id="83" w:name="_Toc194558726"/>
      <w:r w:rsidRPr="00E87003">
        <w:t>Доходность по программе долгосрочных сбережений за первый год составила в среднем около 20 % годовых. Центральный Банк России еще не опубликовал информацию, клиенты каких негосударственных фондов получили максимальную выгоду. «Пенсия.pro» изучила работу десяти самых крупных НПФ1 и составила свой рейтинг. В основе — данные, раскрытые фондами.</w:t>
      </w:r>
      <w:bookmarkEnd w:id="83"/>
    </w:p>
    <w:p w14:paraId="019C42B6" w14:textId="77777777" w:rsidR="007A2019" w:rsidRPr="00E87003" w:rsidRDefault="007A2019" w:rsidP="007A2019">
      <w:r w:rsidRPr="00E87003">
        <w:t>ПДС: первый год работы</w:t>
      </w:r>
    </w:p>
    <w:p w14:paraId="62B7E641" w14:textId="77777777" w:rsidR="007A2019" w:rsidRPr="00E87003" w:rsidRDefault="007A2019" w:rsidP="007A2019">
      <w:r w:rsidRPr="00E87003">
        <w:t>Программа долгосрочных сбережений начала работать весной 2024 года. Договор подписывается с негосударственным пенсионным фондом на 15 лет. Это инструмент длительного сбережения денег со стимулирующими выплатами от государства:</w:t>
      </w:r>
    </w:p>
    <w:p w14:paraId="440936E9" w14:textId="77777777" w:rsidR="007A2019" w:rsidRPr="00E87003" w:rsidRDefault="007A2019" w:rsidP="007A2019">
      <w:r w:rsidRPr="00E87003">
        <w:lastRenderedPageBreak/>
        <w:t xml:space="preserve">    в течение первых 10 лет ежегодно из бюджета доплачивают до 36 000 рублей на счет вкладчика, если взнос вкладчика больше 2 000 рублей в год;</w:t>
      </w:r>
    </w:p>
    <w:p w14:paraId="308C7225" w14:textId="77777777" w:rsidR="007A2019" w:rsidRPr="00E87003" w:rsidRDefault="007A2019" w:rsidP="007A2019">
      <w:r w:rsidRPr="00E87003">
        <w:t xml:space="preserve">    периодичность и суммы пополнений счета — по желанию вкладчика;</w:t>
      </w:r>
    </w:p>
    <w:p w14:paraId="1703C5B1" w14:textId="77777777" w:rsidR="007A2019" w:rsidRPr="00E87003" w:rsidRDefault="007A2019" w:rsidP="007A2019">
      <w:r w:rsidRPr="00E87003">
        <w:t xml:space="preserve">    можно перевести свою накопительную пенсию;</w:t>
      </w:r>
    </w:p>
    <w:p w14:paraId="06C3DF63" w14:textId="77777777" w:rsidR="007A2019" w:rsidRPr="00E87003" w:rsidRDefault="007A2019" w:rsidP="007A2019">
      <w:r w:rsidRPr="00E87003">
        <w:t xml:space="preserve">    разрешено закрывать счет досрочно при наступлении возраста 55/60 лет (женщины/мужчины);</w:t>
      </w:r>
    </w:p>
    <w:p w14:paraId="235D8267" w14:textId="77777777" w:rsidR="007A2019" w:rsidRPr="00E87003" w:rsidRDefault="007A2019" w:rsidP="007A2019">
      <w:r w:rsidRPr="00E87003">
        <w:t xml:space="preserve">    в случае потери кормильца или необходимости дорогостоящего лечения разрешено забрать без штрафа все накопления с процентами или только часть;</w:t>
      </w:r>
    </w:p>
    <w:p w14:paraId="55606E0D" w14:textId="77777777" w:rsidR="007A2019" w:rsidRPr="00E87003" w:rsidRDefault="007A2019" w:rsidP="007A2019">
      <w:r w:rsidRPr="00E87003">
        <w:t xml:space="preserve">    предусмотрен ежегодный налоговый вычет с суммы 400 000 рублей.</w:t>
      </w:r>
    </w:p>
    <w:p w14:paraId="6F6AD13F" w14:textId="77777777" w:rsidR="007A2019" w:rsidRPr="00E87003" w:rsidRDefault="007A2019" w:rsidP="007A2019">
      <w:r w:rsidRPr="00E87003">
        <w:t>За неполный год негосударственные пенсионные фонды собрали от населения 216 млрд рублей, в этом году ждут более высокую цифру. Было заключено 2,9 млн договоров.</w:t>
      </w:r>
    </w:p>
    <w:p w14:paraId="6FEA46A2" w14:textId="77777777" w:rsidR="007A2019" w:rsidRPr="00E87003" w:rsidRDefault="007A2019" w:rsidP="007A2019">
      <w:r w:rsidRPr="00E87003">
        <w:t>Госсофинансирование будет начислено до 1 августа. Инвестиционная доходность уже поступила на счета вкладчиков — фонды обязаны сделать это до 31 марта. Правда, не все НПФ опубликовали эти сведения. Но уже понятно, что по программе долгосрочных сбережений НПФ смогли заработать куда выше, чем по своим классическим продуктам, по накопительным пенсиям и пенсионным резервам (это личные пенсионные планы, теперь в резервы входят и счета по ПДС, но в отчетности многие фонды разделяют их). Связано это с тем, что программа долгосрочных сбережений стартовала в год максимальных ставок на банковские вклады, высоких процентов по ОФЗ и другим облигациям. А портфели по давно действующим счетам собирались в совсем других условиях.</w:t>
      </w:r>
    </w:p>
    <w:p w14:paraId="09A4B2A9" w14:textId="77777777" w:rsidR="007A2019" w:rsidRPr="00E87003" w:rsidRDefault="007A2019" w:rsidP="007A2019">
      <w:r w:rsidRPr="00E87003">
        <w:t>Сургутнефтегаз: 23,66 %</w:t>
      </w:r>
    </w:p>
    <w:p w14:paraId="0E66AFF9" w14:textId="77777777" w:rsidR="007A2019" w:rsidRPr="00E87003" w:rsidRDefault="007A2019" w:rsidP="007A2019">
      <w:r w:rsidRPr="00E87003">
        <w:t>Негосударственный пенсионный фонд нефтяников по количеству активов пока не входит в десятку крупнейших, занимает 11 место (61,8 млрд рублей), но после реорганизации фондов ГК «Регион» однозначно повысит позицию.</w:t>
      </w:r>
    </w:p>
    <w:p w14:paraId="1479AE3D" w14:textId="77777777" w:rsidR="007A2019" w:rsidRPr="00E87003" w:rsidRDefault="007A2019" w:rsidP="007A2019">
      <w:r w:rsidRPr="00E87003">
        <w:t>За первый год работы программы долгосрочных сбережений он показал достаточно высокую доходность, 23,66 %. Для сравнения: 2024 год запомнился рекордными ставками по банковским вкладам, пик пришелся на середину декабря, 22,3 %.</w:t>
      </w:r>
    </w:p>
    <w:p w14:paraId="1B1E1847" w14:textId="77777777" w:rsidR="007A2019" w:rsidRPr="00E87003" w:rsidRDefault="007A2019" w:rsidP="007A2019">
      <w:r w:rsidRPr="00E87003">
        <w:t>Большая часть портфеля НПФ «Сургутнефтегаз» вложена в государственные ценные бумаги (в том числе полученные по сделкам РЕПО, к концу года там было почти 53 % активов, еще 24 % — это корпоративные облигации и чуть менее 19 % фонд держал в депозитах.</w:t>
      </w:r>
    </w:p>
    <w:p w14:paraId="6C962585" w14:textId="77777777" w:rsidR="007A2019" w:rsidRPr="00E87003" w:rsidRDefault="007A2019" w:rsidP="007A2019">
      <w:r w:rsidRPr="00E87003">
        <w:t>Объединяющиеся фонды ГК «Регион»: 22,01 %</w:t>
      </w:r>
    </w:p>
    <w:p w14:paraId="572A5554" w14:textId="77777777" w:rsidR="007A2019" w:rsidRPr="00E87003" w:rsidRDefault="007A2019" w:rsidP="007A2019">
      <w:r w:rsidRPr="00E87003">
        <w:t>Группе компаний «Регион» принадлежат восемь негосударственных пенсионных фондов, семь из них в этом году станут единым целым. В «Будущее» вольются «Большой», «Достойное будущее», «Перспектива», «Федерация», «Телеком-Союз» и «Оборонно-промышленный фонд им. Ливанова». И все они показали одинаковую доходность по программе долгосрочных сбережений: на счета вкладчиков будет начислено 22,01 %.</w:t>
      </w:r>
    </w:p>
    <w:p w14:paraId="0E1854A8" w14:textId="77777777" w:rsidR="007A2019" w:rsidRPr="00E87003" w:rsidRDefault="007A2019" w:rsidP="007A2019">
      <w:r w:rsidRPr="00E87003">
        <w:t xml:space="preserve">Структура портфеля при этом у фондов отличается. Например, «Будущее» почти 45 % активов держало в корпоративных облигациях, 43 % в ОФЗ, доли остальных </w:t>
      </w:r>
      <w:r w:rsidRPr="00E87003">
        <w:lastRenderedPageBreak/>
        <w:t>инструментов куда меньше. «Большой» на 44 % средств закупил ОФЗ, на 28,5 % корпоративные облигации и почти 14 % держал в рублевых депозитах. У «Перспективы» приоретными стали ОФЗ (40 %), корпоративные облигации (более 26 %) и дебиторская задолженность по сделкам РЕПО (почти 14 %).</w:t>
      </w:r>
    </w:p>
    <w:p w14:paraId="56745C0A" w14:textId="77777777" w:rsidR="007A2019" w:rsidRPr="00E87003" w:rsidRDefault="007A2019" w:rsidP="007A2019">
      <w:r w:rsidRPr="00E87003">
        <w:t>Эволюция: 22,01 %</w:t>
      </w:r>
    </w:p>
    <w:p w14:paraId="48FBCF83" w14:textId="77777777" w:rsidR="007A2019" w:rsidRPr="00E87003" w:rsidRDefault="007A2019" w:rsidP="007A2019">
      <w:r w:rsidRPr="00E87003">
        <w:t>Единственный пенсионный фонд ГК «Регион», который не будет присоединяться к НПФ «Будущее» и останется самостоятельным. Сейчас ему принадлежит более 7 % рынка, активы составляют 402 млрд рублей. Исторически фонд был связан с «Роснефтью» и назывался «Нефтегарант». Затем доля нефтяников снижалась, фонд переходил к финансовой группе компаний, переименовался, присоединил к себе крупный НПФ «Согласие», стал частью ГК «Регион».</w:t>
      </w:r>
    </w:p>
    <w:p w14:paraId="7F54B34C" w14:textId="77777777" w:rsidR="007A2019" w:rsidRPr="00E87003" w:rsidRDefault="007A2019" w:rsidP="007A2019">
      <w:r w:rsidRPr="00E87003">
        <w:t>НПФ «Эволюция», как и остальные негосударственные пенсионные фонды из этой группы компаний, начислил на счета вкладчиков 22,01 % годовых. Его портфель такой: 38,5 % в ОФЗ, 28 % корпоративные облигации, 15,4 % рублевые депозиты, 6,7 % в акциях.</w:t>
      </w:r>
    </w:p>
    <w:p w14:paraId="6F6F5B39" w14:textId="77777777" w:rsidR="007A2019" w:rsidRPr="00E87003" w:rsidRDefault="007A2019" w:rsidP="007A2019">
      <w:r w:rsidRPr="00E87003">
        <w:t>Национальный: 18,4 %</w:t>
      </w:r>
    </w:p>
    <w:p w14:paraId="1E0B9A36" w14:textId="77777777" w:rsidR="007A2019" w:rsidRPr="00E87003" w:rsidRDefault="007A2019" w:rsidP="007A2019">
      <w:r w:rsidRPr="00E87003">
        <w:t>Этот негосударственный пенсионный фонд связан с «Татнефтью», банком «Зенит» и другим крупным бизнесом Татарстана. По количеству активов занимает 12 место (56,7 млрд рублей), после объединения фондов ГК «Регион» замкнет десятку крупнейших. «Национальный» заработал по программе долгосрочных сбережений за первый год 18,4 % годовых. Клиентами фонда по ПДС стали 13 127 человек.</w:t>
      </w:r>
    </w:p>
    <w:p w14:paraId="3E27D0E0" w14:textId="77777777" w:rsidR="007A2019" w:rsidRPr="00E87003" w:rsidRDefault="007A2019" w:rsidP="007A2019">
      <w:r w:rsidRPr="00E87003">
        <w:t>Пенсионный фонд предлагает два варианта долгосрочных сбережений. Первый — классическая ПДС, именно для ее участников доходность превысила 18 %. Другой вариант — ПДС с гарантированной доходностью не ниже 11 % годовых и без пополнений, в прошлом году был доступен вариант для мусульман (сбережения по нормам ислама), но сейчас на сайте информации о нем нет.</w:t>
      </w:r>
    </w:p>
    <w:p w14:paraId="1884F140" w14:textId="77777777" w:rsidR="007A2019" w:rsidRPr="00E87003" w:rsidRDefault="007A2019" w:rsidP="007A2019">
      <w:r w:rsidRPr="00E87003">
        <w:t>НПФ Сбербанка: 17,8 %</w:t>
      </w:r>
    </w:p>
    <w:p w14:paraId="3F27EFDA" w14:textId="77777777" w:rsidR="007A2019" w:rsidRPr="00E87003" w:rsidRDefault="007A2019" w:rsidP="007A2019">
      <w:r w:rsidRPr="00E87003">
        <w:t>Пенсионный фонд Сбербанка занимает вторую строчку по количеству активов — почти 930 млрд рублей. И первую — по количеству договоров по программе долгосрочных сбережений. За прошлый год россияне заключили 1,9 млн договоров долгосрочных сбережений со Сбером, как предварительно подсчитал пенсионный фонд, это порядка 48 млрд рублей, плюс еще 67 млрд рублей клиенты перевели из накопительной пенсии. Фонд оценил свою долю по количеству всех договоров в стране в 68 %.</w:t>
      </w:r>
    </w:p>
    <w:p w14:paraId="7A296299" w14:textId="77777777" w:rsidR="007A2019" w:rsidRPr="00E87003" w:rsidRDefault="007A2019" w:rsidP="007A2019">
      <w:r w:rsidRPr="00E87003">
        <w:t>Доходность составила 17,8 %. К началу 2025 года портфель фонда был разбит так: более 38 % ОФЗ, 24 % корпоративные облигации, 10,5 % акции. Информацию о конкретных ценных бумагах по итогам года СберНПФ еще не раскрыл.</w:t>
      </w:r>
    </w:p>
    <w:p w14:paraId="20B870B5" w14:textId="77777777" w:rsidR="007A2019" w:rsidRPr="00E87003" w:rsidRDefault="007A2019" w:rsidP="007A2019">
      <w:r w:rsidRPr="00E87003">
        <w:t>ВТБ Пенсионный фонд: 15,1 %</w:t>
      </w:r>
    </w:p>
    <w:p w14:paraId="5EC8A399" w14:textId="77777777" w:rsidR="007A2019" w:rsidRPr="00E87003" w:rsidRDefault="007A2019" w:rsidP="007A2019">
      <w:r w:rsidRPr="00E87003">
        <w:t>Самый крупный негосударственный пенсионный фонд, чьи активы превышают триллион рублей. Пенсионный фонд о доходности публично решил не заявлять, на сайте такой информации нет. Но она есть в личных кабинетах клиентов фонда. Итог за 2024 год — 15,1 %.</w:t>
      </w:r>
    </w:p>
    <w:p w14:paraId="5239083C" w14:textId="77777777" w:rsidR="007A2019" w:rsidRPr="00E87003" w:rsidRDefault="007A2019" w:rsidP="007A2019">
      <w:r w:rsidRPr="00E87003">
        <w:lastRenderedPageBreak/>
        <w:t>Из интересного. «ВТБ Пенсионный фонд» предлагает своим клиентам протестировать ПДС за 1 день. Проценты за досрочное расторжение обещают не брать. Но по закону, при расторжении договора (обычного) вкладчик теряет право на софинансирование по всем договорам, текущим и будущим. На сайте ВТБ есть предупреждение об этом, но не ясно, попадает ли «тест-драйв» под условия. Найти текст договора по этой акции до заполнения всех данных не удалось.</w:t>
      </w:r>
    </w:p>
    <w:p w14:paraId="70FDD5F6" w14:textId="77777777" w:rsidR="007A2019" w:rsidRPr="00E87003" w:rsidRDefault="007A2019" w:rsidP="007A2019">
      <w:r w:rsidRPr="00E87003">
        <w:t>Газфонд Пенсионные накопления: 15 %</w:t>
      </w:r>
    </w:p>
    <w:p w14:paraId="55063B59" w14:textId="77777777" w:rsidR="007A2019" w:rsidRPr="00E87003" w:rsidRDefault="007A2019" w:rsidP="007A2019">
      <w:r w:rsidRPr="00E87003">
        <w:t>У газовиков 30 лет назад был один пенсионный фонд, но затем его разделили: корпоративные пенсии отошли в НПФ «Газфонд», а накопительные — в «Газфонд Пенсионные накопления». Он входит в топ-3 по количеству активов (778 млрд рублей) и по объему накоплений (664 млрд рублей).</w:t>
      </w:r>
    </w:p>
    <w:p w14:paraId="6B1F9E45" w14:textId="77777777" w:rsidR="007A2019" w:rsidRPr="00E87003" w:rsidRDefault="007A2019" w:rsidP="007A2019">
      <w:r w:rsidRPr="00E87003">
        <w:t>За первый год работы программы ее участниками в НПФ «Газфонд пенсионные накопления» стали 157 121 человек, в совокупности они принесли в фонд 28,5 млрд рублей. Средний взнос одного участника — более 131 000 рублей. По итогам года сбережения принесли вкладчикам плюс 15 % годовых от стартовой суммы. В первом квартале 2025 года пенсионный фонд прогнозирует доходность в 19 %.</w:t>
      </w:r>
    </w:p>
    <w:p w14:paraId="3707AE36" w14:textId="77777777" w:rsidR="007A2019" w:rsidRPr="00E87003" w:rsidRDefault="007A2019" w:rsidP="007A2019">
      <w:r w:rsidRPr="00E87003">
        <w:t>Благосостояние: 10,5 %*</w:t>
      </w:r>
    </w:p>
    <w:p w14:paraId="3CB30BE2" w14:textId="77777777" w:rsidR="007A2019" w:rsidRPr="00E87003" w:rsidRDefault="007A2019" w:rsidP="007A2019">
      <w:r w:rsidRPr="00E87003">
        <w:t>Негосударственный пенсионный фонд, специализирующийся на личных и корпоративных пенсионных планах. Здесь копят на пенсию сотрудники структур РЖД. С 2024 года фонд начал работать с накопительными пенсиями. Ну и с программой долгосрочных сбережений, конечно.</w:t>
      </w:r>
    </w:p>
    <w:p w14:paraId="3BDBB4C5" w14:textId="77777777" w:rsidR="007A2019" w:rsidRPr="00E87003" w:rsidRDefault="007A2019" w:rsidP="007A2019">
      <w:r w:rsidRPr="00E87003">
        <w:t>«Благосостояние» в отчетности не разделяет доходность по старым программам и по ПДС. *Опубликована общая цифра по пенсионным резервам: 10,5 %. Общий размер пенсионных резервов — 566,5 млрд рублей. Для сравнения, в начале 2024 года, когда ПДС еще не работала, активы по резервам составляли 521 млрд рублей.</w:t>
      </w:r>
    </w:p>
    <w:p w14:paraId="76B2B0F8" w14:textId="77777777" w:rsidR="00190EEC" w:rsidRPr="00E87003" w:rsidRDefault="007A2019" w:rsidP="007A2019">
      <w:hyperlink r:id="rId25" w:history="1">
        <w:r w:rsidRPr="00E87003">
          <w:rPr>
            <w:rStyle w:val="a3"/>
          </w:rPr>
          <w:t>https://pensiya.pro/skolko-zarabotali-krupnejshie-npf-s-programmoj-dolgosrochnyh-sberezhenij-rejting/</w:t>
        </w:r>
      </w:hyperlink>
    </w:p>
    <w:p w14:paraId="403C1E44" w14:textId="77777777" w:rsidR="000543D0" w:rsidRPr="00E87003" w:rsidRDefault="000543D0" w:rsidP="000543D0">
      <w:pPr>
        <w:pStyle w:val="2"/>
      </w:pPr>
      <w:bookmarkStart w:id="84" w:name="_Toc194558727"/>
      <w:r w:rsidRPr="00E87003">
        <w:t>News-Life, 02.04.2025, Эксперт Президентской академии в Санкт-Петербурге о программе долгосрочных сбережений</w:t>
      </w:r>
      <w:bookmarkEnd w:id="84"/>
    </w:p>
    <w:p w14:paraId="5D62006D" w14:textId="77777777" w:rsidR="000543D0" w:rsidRPr="00E87003" w:rsidRDefault="000543D0" w:rsidP="00CC78E6">
      <w:pPr>
        <w:pStyle w:val="3"/>
      </w:pPr>
      <w:bookmarkStart w:id="85" w:name="_Toc194558728"/>
      <w:r w:rsidRPr="00E87003">
        <w:t>Налоговые льготы для работодателей, сотрудники которых подключились к программе долгосрочных сбережений (ПДС), как планируется, начнут действовать в 2025 году. Об этом заявил директор департамента финансовой политики Минфина РФ Алексей Яковлев.</w:t>
      </w:r>
      <w:bookmarkEnd w:id="85"/>
    </w:p>
    <w:p w14:paraId="13B73AC1" w14:textId="77777777" w:rsidR="000543D0" w:rsidRPr="00E87003" w:rsidRDefault="000543D0" w:rsidP="000543D0">
      <w:r w:rsidRPr="00E87003">
        <w:t>«Да, мы планируем, что льготы по ПДС для работодателей заработают. С точки зрения налогообложения — это включение, соответственно, взносов, которые идут на софинансирование по программе в общую налоговую базу, чтобы можно было сальдировать. То есть тоже самое, как по зарплате сейчас идет, и как по взносам в программу корпоративного пенсионного обеспечения. И такое же регулирование с точки зрения социальных взносов. Вот два фактора: это налог на прибыль и, соответственно, неначисление с этих средств взносов в Социальный фонд», — сказал он.</w:t>
      </w:r>
    </w:p>
    <w:p w14:paraId="7755B9D4" w14:textId="77777777" w:rsidR="000543D0" w:rsidRPr="00E87003" w:rsidRDefault="000543D0" w:rsidP="000543D0">
      <w:r w:rsidRPr="00E87003">
        <w:lastRenderedPageBreak/>
        <w:t>Минфин в 2024 году подготовил поправки в Налоговый кодекс о льготах для работодателей. В министерстве ранее отмечали, что основным преимуществом корпоративных пенсионных программ для работодателей, помимо удержания сотрудников, является то, что они получают налоговые льготы при отчислении в фонд оплаты труда. Сейчас в программе долгосрочных сбережений таких льгот не предусмотрено.</w:t>
      </w:r>
    </w:p>
    <w:p w14:paraId="2EC6F14E" w14:textId="77777777" w:rsidR="000543D0" w:rsidRPr="00E87003" w:rsidRDefault="000543D0" w:rsidP="000543D0">
      <w:r w:rsidRPr="00E87003">
        <w:t>ПДС действует в России с 1 января 2024 года. С помощью программы россияне могут накопить средства и воспользоваться ими в будущем. Договор ПДС можно открыть в негосударственном пенсионном фонде (НПФ) и получить от государства софинансирование в размере до 36 тыс. руб. в год.</w:t>
      </w:r>
    </w:p>
    <w:p w14:paraId="2123F768" w14:textId="77777777" w:rsidR="000543D0" w:rsidRPr="00E87003" w:rsidRDefault="000543D0" w:rsidP="000543D0">
      <w:r w:rsidRPr="00E87003">
        <w:t>«Следует разъяснить, что формировать свои сбережения может любой россиянин, начиная с 18 лет. Нужно всего лишь заключить договор с негосударственным пенсионным фондом. Важно учесть, что минимальный срок участия в программе не менее 15 лет. Получать выплаты участники смогут в случае достижения 55 лет женщинами и 60 лет мужчинами», - резюмировал эксперт Президентской академии в Санкт-Петербурге Александр Бухтояров.</w:t>
      </w:r>
    </w:p>
    <w:p w14:paraId="7BD721DA" w14:textId="77777777" w:rsidR="007A2019" w:rsidRPr="00E87003" w:rsidRDefault="000543D0" w:rsidP="000543D0">
      <w:hyperlink r:id="rId26" w:history="1">
        <w:r w:rsidRPr="00E87003">
          <w:rPr>
            <w:rStyle w:val="a3"/>
          </w:rPr>
          <w:t>https://news-life.pro/spb/400780559/</w:t>
        </w:r>
      </w:hyperlink>
    </w:p>
    <w:p w14:paraId="073A9692" w14:textId="77777777" w:rsidR="000543D0" w:rsidRPr="00E87003" w:rsidRDefault="000543D0" w:rsidP="000543D0">
      <w:pPr>
        <w:pStyle w:val="2"/>
      </w:pPr>
      <w:bookmarkStart w:id="86" w:name="_Toc194558729"/>
      <w:r w:rsidRPr="00E87003">
        <w:t>munbog.gosuslugi.ru, 02.04.2025, Программа долгосрочных сбережений</w:t>
      </w:r>
      <w:bookmarkEnd w:id="86"/>
    </w:p>
    <w:p w14:paraId="6DAF0194" w14:textId="4C4BB11A" w:rsidR="000543D0" w:rsidRPr="00E87003" w:rsidRDefault="000543D0" w:rsidP="00CC78E6">
      <w:pPr>
        <w:pStyle w:val="3"/>
      </w:pPr>
      <w:bookmarkStart w:id="87" w:name="_Toc194558730"/>
      <w:r w:rsidRPr="00E87003">
        <w:t>В Кировской области за 2024 год жители заключили свыше 31 тысячи договоров по программе долгосрочных сбережений</w:t>
      </w:r>
      <w:r w:rsidR="00C64C64">
        <w:t xml:space="preserve"> </w:t>
      </w:r>
      <w:r w:rsidRPr="00E87003">
        <w:t>(ПДС). Сумма взносов по программе за год составила более 870 млн рублей.</w:t>
      </w:r>
      <w:bookmarkEnd w:id="87"/>
    </w:p>
    <w:p w14:paraId="6DDC80DA" w14:textId="77777777" w:rsidR="000543D0" w:rsidRPr="00E87003" w:rsidRDefault="000543D0" w:rsidP="000543D0">
      <w:r w:rsidRPr="00E87003">
        <w:t>ПДС заработала в январе 2024 года. Это новый сберегательный продукт, с помощью которого можно получить прибавку к пенсии или накопить сумму, которой можно воспользоваться в будущем. Главная особенность программы в том, что ее участники в течение определенного времени будут получать софинансирование со стороны государства.</w:t>
      </w:r>
    </w:p>
    <w:p w14:paraId="3F480F3A" w14:textId="77777777" w:rsidR="000543D0" w:rsidRPr="00E87003" w:rsidRDefault="000543D0" w:rsidP="000543D0">
      <w:r w:rsidRPr="00E87003">
        <w:t>Государство окажет поддержку тем, кто ежегодно будет вносить на свой счет в ПДС не менее 2 тысяч рублей. Срок софинансирования — 10 лет после уплаты первого личного взноса по программе, размер — до 36 тысяч рублей в год. Размер доплаты зависит от уровня дохода конкретного человека. Например, при доходе до 80 тысяч рублей в месяц государство перечислит на счет ПДС по одному рублю на каждый самостоятельно вложенный рубль. Также в программу можно перевести пенсионные накопления, сформированные до 2014 года.</w:t>
      </w:r>
    </w:p>
    <w:p w14:paraId="4A7CEA6D" w14:textId="77777777" w:rsidR="000543D0" w:rsidRPr="00E87003" w:rsidRDefault="000543D0" w:rsidP="000543D0">
      <w:r w:rsidRPr="00E87003">
        <w:t>Сбережения по программе застрахованы государством на сумму до 2,8 млн рублей. Это в два раза больше, чем по банковским вкладам.</w:t>
      </w:r>
    </w:p>
    <w:p w14:paraId="353A46F1" w14:textId="77777777" w:rsidR="000543D0" w:rsidRPr="00E87003" w:rsidRDefault="000543D0" w:rsidP="000543D0">
      <w:r w:rsidRPr="00E87003">
        <w:t>Обратиться за выплатами по программе можно будет через 15 лет с момента заключения договора либо с 55 лет для женщин и с 60 лет для мужчин.</w:t>
      </w:r>
    </w:p>
    <w:p w14:paraId="17C0623F" w14:textId="77777777" w:rsidR="000543D0" w:rsidRPr="00E87003" w:rsidRDefault="000543D0" w:rsidP="000543D0">
      <w:r w:rsidRPr="00E87003">
        <w:t>Операторы программы долгосрочных сбережений — негосударственные пенсионные фонды. Чтобы вступить в ПДС, нужно заключить договор с одним или несколькими из них, затем вносить любые суммы на свой счет.</w:t>
      </w:r>
    </w:p>
    <w:p w14:paraId="4A85C46E" w14:textId="77777777" w:rsidR="000543D0" w:rsidRPr="00E87003" w:rsidRDefault="000543D0" w:rsidP="000543D0">
      <w:r w:rsidRPr="00E87003">
        <w:lastRenderedPageBreak/>
        <w:t>«Программа долгосрочных сбережений предназначена для накопления средств на крупные покупки или на создание дополнительного источника дохода после выхода на пенсию. Помимо финансирования со стороны государства участники программы имеют право на налоговые преференции, — рассказал управляющий Отделением Киров Волго-Вятского ГУ Банка России Сергей Крюков. — К ПДС могут присоединиться все граждане России, достигшие совершеннолетия. При желании можно заключить договор долгосрочных сбережений в пользу своего ребенка или другого человека».</w:t>
      </w:r>
    </w:p>
    <w:p w14:paraId="08CD9CFC" w14:textId="77777777" w:rsidR="000543D0" w:rsidRPr="00E87003" w:rsidRDefault="000543D0" w:rsidP="000543D0">
      <w:hyperlink r:id="rId27" w:history="1">
        <w:r w:rsidRPr="00E87003">
          <w:rPr>
            <w:rStyle w:val="a3"/>
          </w:rPr>
          <w:t>https://munbog.gosuslugi.ru/dlya-zhiteley/novosti-i-reportazhi/novosti-193_1086.html</w:t>
        </w:r>
      </w:hyperlink>
    </w:p>
    <w:p w14:paraId="530C2E09" w14:textId="77777777" w:rsidR="001E0564" w:rsidRPr="001E0564" w:rsidRDefault="001E0564" w:rsidP="001E0564">
      <w:pPr>
        <w:pStyle w:val="2"/>
      </w:pPr>
      <w:bookmarkStart w:id="88" w:name="_Toc194558731"/>
      <w:r w:rsidRPr="001E0564">
        <w:rPr>
          <w:rStyle w:val="DocumentSource"/>
          <w:i/>
          <w:sz w:val="28"/>
        </w:rPr>
        <w:t>Globalmsk.ru, 03.04.2025,</w:t>
      </w:r>
      <w:r w:rsidRPr="001E0564">
        <w:t xml:space="preserve"> </w:t>
      </w:r>
      <w:r w:rsidRPr="001E0564">
        <w:rPr>
          <w:rStyle w:val="DocumentName"/>
          <w:rFonts w:eastAsia="Verdana"/>
          <w:b/>
          <w:caps w:val="0"/>
          <w:sz w:val="28"/>
        </w:rPr>
        <w:t>Силуанов призвал вместо повышения зарплат подключать работников к системе ПДС</w:t>
      </w:r>
      <w:bookmarkEnd w:id="88"/>
    </w:p>
    <w:p w14:paraId="154EFBD8" w14:textId="77777777" w:rsidR="001E0564" w:rsidRDefault="001E0564" w:rsidP="001E0564">
      <w:pPr>
        <w:pStyle w:val="3"/>
      </w:pPr>
      <w:bookmarkStart w:id="89" w:name="_Toc194558732"/>
      <w:r>
        <w:t xml:space="preserve">В России работодатели вместо повышения зарплат могут начать подключать к работников в системе </w:t>
      </w:r>
      <w:r>
        <w:rPr>
          <w:b/>
        </w:rPr>
        <w:t>ПДС</w:t>
      </w:r>
      <w:r>
        <w:t>. Антон Силуанов, возглавляющий Минфин, рассказал об этом на съезде РСПП.</w:t>
      </w:r>
      <w:bookmarkEnd w:id="89"/>
    </w:p>
    <w:p w14:paraId="12204884" w14:textId="77777777" w:rsidR="001E0564" w:rsidRDefault="001E0564" w:rsidP="001E0564">
      <w:r>
        <w:t xml:space="preserve">В последнее время работодатели вынуждены идти по пути повышения окладов, поскольку пытаются удержать ценные кадры. Бизнес может завлекать работников программой долгосрочных сбережений. Она может стать инфляционным инструментом, влияющим на размер прибыли. Направленные в </w:t>
      </w:r>
      <w:r>
        <w:rPr>
          <w:b/>
        </w:rPr>
        <w:t>ПДС</w:t>
      </w:r>
      <w:r>
        <w:t xml:space="preserve"> деньги в конечном итоге все равно вернутся в бизнес.</w:t>
      </w:r>
    </w:p>
    <w:p w14:paraId="7B8AA885" w14:textId="77777777" w:rsidR="001E0564" w:rsidRDefault="001E0564" w:rsidP="001E0564">
      <w:r>
        <w:t xml:space="preserve">В этом году Минфин намерен внедрить налоговые стимулы для предприятий, софинансирующих страховые взносы работников. Средства будут храниться в негосударственном фонде. Государство в год будет начислять на каждый пополняемый счет до 36 000 рублей. Забрать деньги можно через 15 лет или при достижении </w:t>
      </w:r>
      <w:r>
        <w:rPr>
          <w:b/>
        </w:rPr>
        <w:t>пенсионного возраста</w:t>
      </w:r>
      <w:r>
        <w:t>.</w:t>
      </w:r>
    </w:p>
    <w:p w14:paraId="116FFBD8" w14:textId="77777777" w:rsidR="001E0564" w:rsidRDefault="001E0564" w:rsidP="001E0564">
      <w:hyperlink r:id="rId28" w:history="1">
        <w:r>
          <w:rPr>
            <w:rStyle w:val="DocumentOriginalLink"/>
          </w:rPr>
          <w:t>https://www.globalmsk.ru/news/id/74053</w:t>
        </w:r>
      </w:hyperlink>
    </w:p>
    <w:p w14:paraId="101D34F6" w14:textId="77777777" w:rsidR="00EE086A" w:rsidRPr="00EE086A" w:rsidRDefault="00EE086A" w:rsidP="00EE086A">
      <w:pPr>
        <w:pStyle w:val="2"/>
      </w:pPr>
      <w:bookmarkStart w:id="90" w:name="_Toc194558733"/>
      <w:r w:rsidRPr="00EE086A">
        <w:rPr>
          <w:rStyle w:val="DocumentSource"/>
          <w:i/>
          <w:sz w:val="28"/>
        </w:rPr>
        <w:t xml:space="preserve">РБА Новости, 02.04.2025, </w:t>
      </w:r>
      <w:r w:rsidRPr="00EE086A">
        <w:rPr>
          <w:rStyle w:val="DocumentName"/>
          <w:rFonts w:eastAsia="Verdana"/>
          <w:b/>
          <w:caps w:val="0"/>
          <w:sz w:val="28"/>
        </w:rPr>
        <w:t>Комментарий Р. Вестеровского по инициативе Минфина о введении налоговых льгот для компаний</w:t>
      </w:r>
      <w:bookmarkEnd w:id="90"/>
    </w:p>
    <w:p w14:paraId="4B856A47" w14:textId="77777777" w:rsidR="00EE086A" w:rsidRDefault="00EE086A" w:rsidP="00EE086A">
      <w:pPr>
        <w:pStyle w:val="3"/>
      </w:pPr>
      <w:bookmarkStart w:id="91" w:name="_Toc194558734"/>
      <w:r>
        <w:t>Старший вице-президент, руководитель блока «Управление благосостоянием» Сбербанка Руслан Вестеровский: «Мы, безусловно, поддерживаем эту инициативу Минфина. Новые меры создадут дополнительные стимулы для работодателей участвовать в софинансировании взносов сотрудников в программу долгосрочных сбережений (</w:t>
      </w:r>
      <w:r>
        <w:rPr>
          <w:b/>
        </w:rPr>
        <w:t>ПДС</w:t>
      </w:r>
      <w:r>
        <w:t xml:space="preserve">). Особенно это актуально в условиях кадрового дефицита, ведь </w:t>
      </w:r>
      <w:r>
        <w:rPr>
          <w:b/>
        </w:rPr>
        <w:t>ПДС</w:t>
      </w:r>
      <w:r>
        <w:t xml:space="preserve"> станет дополнительным инструментом мотивации и удержания сотрудников.</w:t>
      </w:r>
      <w:bookmarkEnd w:id="91"/>
    </w:p>
    <w:p w14:paraId="584B0660" w14:textId="77777777" w:rsidR="00EE086A" w:rsidRDefault="00EE086A" w:rsidP="00EE086A">
      <w:r>
        <w:t xml:space="preserve">Исследование СберНПФ и Работа.ру показывает, что 46% работодателей готовы софинансировать </w:t>
      </w:r>
      <w:r>
        <w:rPr>
          <w:b/>
        </w:rPr>
        <w:t>ПДС-счета</w:t>
      </w:r>
      <w:r>
        <w:t xml:space="preserve"> своих специалистов, причем половина из них рассчитывают на налоговые льготы. С нашей точки зрения, после принятия поправок количество участников </w:t>
      </w:r>
      <w:r>
        <w:rPr>
          <w:b/>
        </w:rPr>
        <w:t>ПДС</w:t>
      </w:r>
      <w:r>
        <w:t xml:space="preserve"> значительно увеличится.</w:t>
      </w:r>
    </w:p>
    <w:p w14:paraId="51406FE2" w14:textId="77777777" w:rsidR="00EE086A" w:rsidRDefault="00EE086A" w:rsidP="00EE086A">
      <w:r>
        <w:lastRenderedPageBreak/>
        <w:t xml:space="preserve">Кроме того, считаем важным рассмотреть возможность расширения этой инициативы. Например, ввести налоговый вычет по личным взносам сотрудника в рамках </w:t>
      </w:r>
      <w:r>
        <w:rPr>
          <w:b/>
        </w:rPr>
        <w:t>ПДС</w:t>
      </w:r>
      <w:r>
        <w:t xml:space="preserve"> прямо у работодателя, аналогично действующему порядку в договорах негосударственного пенсионного обеспечения (НПО). По нашим оценкам, в следующем году благодаря этим мерам в </w:t>
      </w:r>
      <w:r>
        <w:rPr>
          <w:b/>
        </w:rPr>
        <w:t>ПДС</w:t>
      </w:r>
      <w:r>
        <w:t xml:space="preserve"> можно будет дополнительно привлечь 65 млрд рублей».</w:t>
      </w:r>
    </w:p>
    <w:p w14:paraId="3011173B" w14:textId="77777777" w:rsidR="00EE086A" w:rsidRDefault="00EE086A" w:rsidP="00EE086A">
      <w:r>
        <w:t>Справка о программе:</w:t>
      </w:r>
    </w:p>
    <w:p w14:paraId="1AB4FC04" w14:textId="77777777" w:rsidR="00EE086A" w:rsidRDefault="00EE086A" w:rsidP="00EE086A">
      <w:r>
        <w:rPr>
          <w:b/>
        </w:rPr>
        <w:t>Программа долгосрочных сбережений</w:t>
      </w:r>
      <w:r>
        <w:t xml:space="preserve"> - это добровольный накопительно-сберегательный продукт для граждан с государственным софинансированием. </w:t>
      </w:r>
      <w:r>
        <w:rPr>
          <w:b/>
        </w:rPr>
        <w:t>ПДС</w:t>
      </w:r>
      <w:r>
        <w:t xml:space="preserve"> заработала в России с 1 января 2024 года. Чтобы участвовать в программе, нужно заключить договор с негосударственным пенсионным фондом (НПФ). На </w:t>
      </w:r>
      <w:r>
        <w:rPr>
          <w:b/>
        </w:rPr>
        <w:t>ПДС-счет</w:t>
      </w:r>
      <w:r>
        <w:t xml:space="preserve"> можно перевести средства накопительной пенсии. В первые десять лет после вступления в программу государство софинансирует вложения до 36 тыс. рублей каждые 12 месяцев. Также предусмотрен налоговый вычет до 52 тысяч рублей в год. Средства защищены Агентством по страхованию вкладов на 2,8 млн рублей.</w:t>
      </w:r>
    </w:p>
    <w:p w14:paraId="2C34E72B" w14:textId="77777777" w:rsidR="00EE086A" w:rsidRDefault="00EE086A" w:rsidP="00EE086A">
      <w:r>
        <w:t xml:space="preserve">По данным Банка России, на 31 января 2025 года, граждане заключили 3,3 млн договоров </w:t>
      </w:r>
      <w:r>
        <w:rPr>
          <w:b/>
        </w:rPr>
        <w:t>ПДС</w:t>
      </w:r>
      <w:r>
        <w:t>, сумма привлеченных средств - 245 млрд рублей.</w:t>
      </w:r>
    </w:p>
    <w:p w14:paraId="04951B91" w14:textId="77777777" w:rsidR="000543D0" w:rsidRPr="00E87003" w:rsidRDefault="00EE086A" w:rsidP="000543D0">
      <w:hyperlink r:id="rId29" w:history="1">
        <w:r>
          <w:rPr>
            <w:rStyle w:val="DocumentOriginalLink"/>
          </w:rPr>
          <w:t>https://rbanews.ru/kommentarij-r-vesterovskogo-po-iniciative-minfina-o-vvedenii-nalogovyx-lgot-dlya-kompanij/</w:t>
        </w:r>
      </w:hyperlink>
    </w:p>
    <w:p w14:paraId="674F2CF7" w14:textId="77777777" w:rsidR="00111D7C" w:rsidRPr="00E87003" w:rsidRDefault="00111D7C" w:rsidP="00111D7C">
      <w:pPr>
        <w:pStyle w:val="10"/>
      </w:pPr>
      <w:bookmarkStart w:id="92" w:name="_Toc165991074"/>
      <w:bookmarkStart w:id="93" w:name="_Toc194558735"/>
      <w:r w:rsidRPr="00E87003">
        <w:t>Новости развития системы обязательного пенсионного страхования и страховой пенсии</w:t>
      </w:r>
      <w:bookmarkEnd w:id="54"/>
      <w:bookmarkEnd w:id="55"/>
      <w:bookmarkEnd w:id="56"/>
      <w:bookmarkEnd w:id="92"/>
      <w:bookmarkEnd w:id="93"/>
    </w:p>
    <w:p w14:paraId="637CEEC6" w14:textId="77777777" w:rsidR="007A2019" w:rsidRPr="00E87003" w:rsidRDefault="007A2019" w:rsidP="007A2019">
      <w:pPr>
        <w:pStyle w:val="2"/>
      </w:pPr>
      <w:bookmarkStart w:id="94" w:name="_Toc194558736"/>
      <w:r w:rsidRPr="00E87003">
        <w:t>Парламентская газета, 02.04.2025, Законопроект о получении инвалидами СВО двух пенсий поддержали ко II чтению</w:t>
      </w:r>
      <w:bookmarkEnd w:id="94"/>
    </w:p>
    <w:p w14:paraId="4AE1031D" w14:textId="77777777" w:rsidR="007A2019" w:rsidRPr="00E87003" w:rsidRDefault="007A2019" w:rsidP="00CC78E6">
      <w:pPr>
        <w:pStyle w:val="3"/>
      </w:pPr>
      <w:bookmarkStart w:id="95" w:name="_Toc194558737"/>
      <w:r w:rsidRPr="00E87003">
        <w:t>Комитет Госдумы по труду, социальной политике и делам ветеранов на заседании комитета 2 апреля поддержал ко второму чтению законопроект, который дает право ополченцам из Донецкой и Луганской народных республик, а также участникам СВО, ставшим инвалидами в результате боевых действий, получать сразу две пенсии: по инвалидности и по старости или по инвалидности и за выслугу лет.</w:t>
      </w:r>
      <w:bookmarkEnd w:id="95"/>
      <w:r w:rsidRPr="00E87003">
        <w:t xml:space="preserve"> </w:t>
      </w:r>
    </w:p>
    <w:p w14:paraId="35413991" w14:textId="77777777" w:rsidR="007A2019" w:rsidRPr="00E87003" w:rsidRDefault="007A2019" w:rsidP="007A2019">
      <w:r w:rsidRPr="00E87003">
        <w:t>Как пояснила член Комитета Госдумы по труду, социальной политике и делам ветеранов Светлана Бессараб, поправки вносят ряд изменений в пенсионное законодательство в пользу участников специальной военной операции и граждан, принимавших участие в добровольческих формированиях, признанных инвалидами вследствие увечья, ранения, травмы, контузии или заболевания, полученных в связи с исполнением обязанностей по контракту, пребыванием в добровольческом объединении, воинских формированиях ДНР, ЛНР, и членов их семей.</w:t>
      </w:r>
    </w:p>
    <w:p w14:paraId="224A34D6" w14:textId="77777777" w:rsidR="007A2019" w:rsidRPr="00E87003" w:rsidRDefault="007A2019" w:rsidP="007A2019">
      <w:r w:rsidRPr="00E87003">
        <w:t xml:space="preserve">«В частности, уточняется право на получение двух пенсий инвалидами специальной военной операции, родителями или детьми участников СВО по случаю потери кормильца, — сказала депутат. — А также вносятся поправки для правопреемников застрахованных лиц, погибших при выполнении задач СВО, на обращение за выплатами средств пенсионных накоплений по негосударственному пенсионному </w:t>
      </w:r>
      <w:r w:rsidRPr="00E87003">
        <w:lastRenderedPageBreak/>
        <w:t xml:space="preserve">обеспечению по истечении срока, установленного законом — это шесть месяцев, без его судебного восстановления». </w:t>
      </w:r>
    </w:p>
    <w:p w14:paraId="13D9C252" w14:textId="77777777" w:rsidR="007A2019" w:rsidRPr="00E87003" w:rsidRDefault="007A2019" w:rsidP="007A2019">
      <w:hyperlink r:id="rId30" w:history="1">
        <w:r w:rsidRPr="00E87003">
          <w:rPr>
            <w:rStyle w:val="a3"/>
          </w:rPr>
          <w:t>https://www.pnp.ru/politics/zakonoproekt-o-poluchenii-invalidami-svo-dvukh-pensiy-podderzhali-ko-ii-chteniyu.html</w:t>
        </w:r>
      </w:hyperlink>
      <w:r w:rsidRPr="00E87003">
        <w:t xml:space="preserve"> </w:t>
      </w:r>
    </w:p>
    <w:p w14:paraId="24008FB2" w14:textId="77777777" w:rsidR="00F576E4" w:rsidRPr="00E87003" w:rsidRDefault="00F576E4" w:rsidP="00F576E4">
      <w:pPr>
        <w:pStyle w:val="2"/>
      </w:pPr>
      <w:bookmarkStart w:id="96" w:name="_Toc194558738"/>
      <w:r w:rsidRPr="00E87003">
        <w:t>Интерфакс, 02.04.2025, Совет Федерации ратифицировал протокол к соглашению с Южной Осетией о пенсиях</w:t>
      </w:r>
      <w:bookmarkEnd w:id="96"/>
    </w:p>
    <w:p w14:paraId="44955337" w14:textId="77777777" w:rsidR="00F576E4" w:rsidRPr="00E87003" w:rsidRDefault="00F576E4" w:rsidP="00CC78E6">
      <w:pPr>
        <w:pStyle w:val="3"/>
      </w:pPr>
      <w:bookmarkStart w:id="97" w:name="_Toc194558739"/>
      <w:r w:rsidRPr="00E87003">
        <w:t>Совет Федерации на заседании в среду одобрил закон о ратификации протокола о внесении изменений в соглашение России и Южной Осетии о пенсионном обеспечении граждан РФ, постоянно проживающих в республике.</w:t>
      </w:r>
      <w:bookmarkEnd w:id="97"/>
    </w:p>
    <w:p w14:paraId="2FA63D9F" w14:textId="77777777" w:rsidR="00F576E4" w:rsidRPr="00E87003" w:rsidRDefault="00F576E4" w:rsidP="00F576E4">
      <w:r w:rsidRPr="00E87003">
        <w:t>Протокол к соглашению от 25 ноября 2016 года был подписан в Москве 4 октября 2024 года.</w:t>
      </w:r>
    </w:p>
    <w:p w14:paraId="1796D208" w14:textId="77777777" w:rsidR="00F576E4" w:rsidRPr="00E87003" w:rsidRDefault="00F576E4" w:rsidP="00F576E4">
      <w:r w:rsidRPr="00E87003">
        <w:t>В частности, изменения предусматривают возврат югоосетинской стороной сумм пенсий и доплат к ним, излишне полученных родственниками умерших пенсионеров ввиду несвоевременности извещения о факте их смерти, с последующей возможностью взыскания соответствующих сумм в порядке регресса с соответствующих виновных лиц; прямое закрепление возможности заключения межведомственных соглашений, включая соглашения об организации взаимодействия в электронном виде.</w:t>
      </w:r>
    </w:p>
    <w:p w14:paraId="10044B82" w14:textId="77777777" w:rsidR="00F576E4" w:rsidRPr="00E87003" w:rsidRDefault="00F576E4" w:rsidP="00F576E4">
      <w:r w:rsidRPr="00E87003">
        <w:t>Протокол также закрепляет необходимость соблюдения конфиденциальности информации, обмен которой осуществляется в ходе сотрудничества, а также на беспрепятственное перемещение через границу грузов (компьютерной, копировальной техники и др.), необходимых для выполнения российской стороной обязательств в целях реализации соглашения.</w:t>
      </w:r>
    </w:p>
    <w:p w14:paraId="0FD18276" w14:textId="77777777" w:rsidR="00F576E4" w:rsidRPr="00E87003" w:rsidRDefault="00F576E4" w:rsidP="00F576E4">
      <w:r w:rsidRPr="00E87003">
        <w:t>Кроме того, протокол предусматривает освобождение российской стороны от каких-либо пошлин, налогов и сборов при выполнении своих функций в период нахождения работников Фонда пенсионного и социального страхования РФ на территории республики Южная Осетия при организации приема граждан и документов от них в целях установления и выплаты пенсии и доплаты к ней в соответствии с соглашением и законодательством РФ.</w:t>
      </w:r>
    </w:p>
    <w:p w14:paraId="7386A03D" w14:textId="77777777" w:rsidR="00111D7C" w:rsidRPr="00E87003" w:rsidRDefault="00F576E4" w:rsidP="00F576E4">
      <w:hyperlink r:id="rId31" w:history="1">
        <w:r w:rsidRPr="00E87003">
          <w:rPr>
            <w:rStyle w:val="a3"/>
          </w:rPr>
          <w:t>https://www.interfax.ru/russia/1017807</w:t>
        </w:r>
      </w:hyperlink>
    </w:p>
    <w:p w14:paraId="0EBE26EB" w14:textId="77777777" w:rsidR="005F79C8" w:rsidRPr="00E87003" w:rsidRDefault="005F79C8" w:rsidP="005F79C8">
      <w:pPr>
        <w:pStyle w:val="2"/>
      </w:pPr>
      <w:bookmarkStart w:id="98" w:name="a9"/>
      <w:bookmarkStart w:id="99" w:name="_Toc194558740"/>
      <w:bookmarkEnd w:id="98"/>
      <w:r w:rsidRPr="00E87003">
        <w:t>RT, 02.04.2025, В ГД напомнили о механизме двухэтапной индексации страховых пенсий в 2026 году</w:t>
      </w:r>
      <w:bookmarkEnd w:id="99"/>
    </w:p>
    <w:p w14:paraId="2FE7C86F" w14:textId="77777777" w:rsidR="005F79C8" w:rsidRPr="00E87003" w:rsidRDefault="005F79C8" w:rsidP="00CC78E6">
      <w:pPr>
        <w:pStyle w:val="3"/>
      </w:pPr>
      <w:bookmarkStart w:id="100" w:name="_Toc194558741"/>
      <w:r w:rsidRPr="00E87003">
        <w:t>Председатель комитета Государственной думы по вопросам собственности, земельным и имущественным отношениям (фракция КПРФ) Сергей Гаврилов рассказал RT о двухэтапной индексации страховых пенсий в 2026 году.</w:t>
      </w:r>
      <w:bookmarkEnd w:id="100"/>
    </w:p>
    <w:p w14:paraId="6A01139A" w14:textId="77777777" w:rsidR="005F79C8" w:rsidRPr="00E87003" w:rsidRDefault="005F79C8" w:rsidP="005F79C8">
      <w:r w:rsidRPr="00E87003">
        <w:t>По словам парламентария, механизм будет применяться ко всем, кто получает соответствующие выплаты по возрасту или иным установленным законодательством основаниям.</w:t>
      </w:r>
    </w:p>
    <w:p w14:paraId="4659ED83" w14:textId="77777777" w:rsidR="005F79C8" w:rsidRPr="00E87003" w:rsidRDefault="005F79C8" w:rsidP="005F79C8">
      <w:r w:rsidRPr="00E87003">
        <w:t xml:space="preserve">«Первая индексация запланирована на февраль и будет рассчитана исходя из динамики потребительских цен за предыдущий год. Вторая, которая состоится в апреле, будет </w:t>
      </w:r>
      <w:r w:rsidRPr="00E87003">
        <w:lastRenderedPageBreak/>
        <w:t>определяться исходя из бюджетных возможностей Социального фонда, куда входят обязательные отчисления с учётом уровня занятости и экономической ситуации», - объяснил депутат.</w:t>
      </w:r>
    </w:p>
    <w:p w14:paraId="02F98A05" w14:textId="77777777" w:rsidR="005F79C8" w:rsidRPr="00E87003" w:rsidRDefault="005F79C8" w:rsidP="005F79C8">
      <w:r w:rsidRPr="00E87003">
        <w:t>Он добавил, что если темпы роста заработной платы за год окажутся выше инфляции, то со следующего апреля будет произведено дополнительное повышение пенсий.</w:t>
      </w:r>
    </w:p>
    <w:p w14:paraId="3A30839C" w14:textId="77777777" w:rsidR="005F79C8" w:rsidRPr="00E87003" w:rsidRDefault="005F79C8" w:rsidP="005F79C8">
      <w:r w:rsidRPr="00E87003">
        <w:t>«Однако данная прибавка не сможет превышать те средства, которые накопятся в СФР с учётом количества пенсионеров. Такая структура позволяет точнее сопоставить реальное положение дел в экономике с обязательствами государства перед гражданами», - уточнил Гаврилов.</w:t>
      </w:r>
    </w:p>
    <w:p w14:paraId="7235CE70" w14:textId="77777777" w:rsidR="005F79C8" w:rsidRPr="00E87003" w:rsidRDefault="005F79C8" w:rsidP="005F79C8">
      <w:r w:rsidRPr="00E87003">
        <w:t>Ранее генеральный директор профессиональной юридической группы АИД юрист Давид Адамс рассказал, что в налоговой сфере с 1 апреля начнёт действовать упрощённая процедура документального подтверждения нулевой ставки НДС при международных перевозках.</w:t>
      </w:r>
    </w:p>
    <w:p w14:paraId="153D9C92" w14:textId="77777777" w:rsidR="005F79C8" w:rsidRPr="00E87003" w:rsidRDefault="005F79C8" w:rsidP="005F79C8">
      <w:hyperlink r:id="rId32" w:history="1">
        <w:r w:rsidRPr="00E87003">
          <w:rPr>
            <w:rStyle w:val="a3"/>
          </w:rPr>
          <w:t>https://russian.rt.com/russia/news/1457938-pensii-2026-god-dvuhetapnaya-indeksaciya?utm_source=rss&amp;utm_medium=rss&amp;utm_campaign=RSS</w:t>
        </w:r>
      </w:hyperlink>
      <w:r w:rsidRPr="00E87003">
        <w:t xml:space="preserve"> </w:t>
      </w:r>
    </w:p>
    <w:p w14:paraId="77AC4682" w14:textId="77777777" w:rsidR="00B77B41" w:rsidRPr="00E87003" w:rsidRDefault="00B77B41" w:rsidP="00B77B41">
      <w:pPr>
        <w:pStyle w:val="2"/>
      </w:pPr>
      <w:bookmarkStart w:id="101" w:name="_Toc194558742"/>
      <w:r w:rsidRPr="00E87003">
        <w:t>Говорит Москва, 02.04.2025, В Союзе пенсионеров России рассказали, по какому принципу индексируются социальные выплаты</w:t>
      </w:r>
      <w:bookmarkEnd w:id="101"/>
    </w:p>
    <w:p w14:paraId="2719CF48" w14:textId="77777777" w:rsidR="00B77B41" w:rsidRPr="00E87003" w:rsidRDefault="00B77B41" w:rsidP="00DA2694">
      <w:pPr>
        <w:pStyle w:val="3"/>
      </w:pPr>
      <w:bookmarkStart w:id="102" w:name="_Toc194558743"/>
      <w:r w:rsidRPr="00E87003">
        <w:t>Сумма рассчитывается с учётом текущей инфляции и темпов роста прожиточного минимума. Об этом в эфире радиостанции «Говорит Москва» рассказал председатель организации Валерий Рязанский.</w:t>
      </w:r>
      <w:bookmarkEnd w:id="102"/>
    </w:p>
    <w:p w14:paraId="2431BFEB" w14:textId="77777777" w:rsidR="00B77B41" w:rsidRPr="00E87003" w:rsidRDefault="00B77B41" w:rsidP="00B77B41">
      <w:r w:rsidRPr="00E87003">
        <w:t>«Индексация происходит по уровню инфляции. Что касается социальных пенсий, они по своему размеру значительно ниже, чем трудовые пенсии, но индексация происходит по-другому - по темпам роста прожиточного минимума пенсионеров. Темпы роста были в последний год значительно более высокие, чем в другие годы, поэтому 14,75% - это как раз темп роста прожиточного минимума. У каждого пенсионера, получающего социальную пенсию, свой уровень пенсии. Они назначаются людям, которые не заработали себе трудовой стаж. Люди, которые не выработали трудовой стаж, уходят на социальную пенсию на пять лет позже, чем те, кто уходит по старости».</w:t>
      </w:r>
    </w:p>
    <w:p w14:paraId="239C6E25" w14:textId="77777777" w:rsidR="00B77B41" w:rsidRPr="00E87003" w:rsidRDefault="00B77B41" w:rsidP="00B77B41">
      <w:r w:rsidRPr="00E87003">
        <w:t>Социальные пенсии в России с 1 апреля проиндексируют на 14,75%. Таким образом, средний размер выплаты увеличится до 15,5 тыс. рублей.</w:t>
      </w:r>
    </w:p>
    <w:p w14:paraId="433A37C4" w14:textId="77777777" w:rsidR="00B77B41" w:rsidRPr="00E87003" w:rsidRDefault="00B77B41" w:rsidP="00B77B41">
      <w:r w:rsidRPr="00E87003">
        <w:t>Мера коснётся граждан, у которых нет трудового стажа или его недостаточно для назначения страховой пенсии, а также людей с инвалидностью и тех, кто потерял кормильца - это почти 4,2 млн человек.</w:t>
      </w:r>
    </w:p>
    <w:p w14:paraId="2B7A2821" w14:textId="77777777" w:rsidR="00B77B41" w:rsidRPr="00E87003" w:rsidRDefault="00B77B41" w:rsidP="00B77B41">
      <w:hyperlink r:id="rId33" w:history="1">
        <w:r w:rsidRPr="00E87003">
          <w:rPr>
            <w:rStyle w:val="a3"/>
          </w:rPr>
          <w:t>https://govoritmoskva.ru/news/447387/</w:t>
        </w:r>
      </w:hyperlink>
      <w:r w:rsidRPr="00E87003">
        <w:t xml:space="preserve"> </w:t>
      </w:r>
    </w:p>
    <w:p w14:paraId="0862503C" w14:textId="77777777" w:rsidR="00AB3791" w:rsidRPr="00E87003" w:rsidRDefault="00AB3791" w:rsidP="00AB3791">
      <w:pPr>
        <w:pStyle w:val="2"/>
      </w:pPr>
      <w:bookmarkStart w:id="103" w:name="_Toc194558744"/>
      <w:r w:rsidRPr="00E87003">
        <w:lastRenderedPageBreak/>
        <w:t>Лента.ру, 02.04.2025, Кто пойдет на пенсию по старости в 2025 году? Возраст выхода на пенсию для мужчин и женщин</w:t>
      </w:r>
      <w:bookmarkEnd w:id="103"/>
    </w:p>
    <w:p w14:paraId="3EACC3E5" w14:textId="77777777" w:rsidR="00AB3791" w:rsidRPr="00E87003" w:rsidRDefault="00AB3791" w:rsidP="00DA2694">
      <w:pPr>
        <w:pStyle w:val="3"/>
      </w:pPr>
      <w:bookmarkStart w:id="104" w:name="_Toc194558745"/>
      <w:r w:rsidRPr="00E87003">
        <w:t>В соответствии с пенсионной реформой, которая началась в 2019 году, к 2028-му возраст выхода на пенсию должен увеличиться на пять лет. Тогда мужчины смогут получать страховую пенсию по старости в 65 лет, а женщины - в 60 лет. Переход к этой системе осуществляется постепенно: пенсионный возраст поднимается каждый год. «Лента.ру» рассказывает, кто может уйти на пенсию в 2025 году и какие условия для этого должны быть соблюдены.</w:t>
      </w:r>
      <w:bookmarkEnd w:id="104"/>
    </w:p>
    <w:p w14:paraId="04E40794" w14:textId="77777777" w:rsidR="00AB3791" w:rsidRPr="00E87003" w:rsidRDefault="00AB3791" w:rsidP="00AB3791">
      <w:r w:rsidRPr="00E87003">
        <w:t>Возраст выхода на пенсию по старости в 2025 году</w:t>
      </w:r>
    </w:p>
    <w:p w14:paraId="3B037502" w14:textId="77777777" w:rsidR="00AB3791" w:rsidRPr="00E87003" w:rsidRDefault="00AB3791" w:rsidP="00AB3791">
      <w:r w:rsidRPr="00E87003">
        <w:t>2025-й - год, в который никто не выйдет на пенсию по достижении определенного возраста</w:t>
      </w:r>
    </w:p>
    <w:p w14:paraId="0EACA911" w14:textId="77777777" w:rsidR="00AB3791" w:rsidRPr="00E87003" w:rsidRDefault="00AB3791" w:rsidP="00AB3791">
      <w:r w:rsidRPr="00E87003">
        <w:t>Так уже случалось в 2023 году и повторится в 2027-м. Эти годы заложены как переходный период, пока возраст пенсионеров последовательно повышают.</w:t>
      </w:r>
    </w:p>
    <w:p w14:paraId="10DEB4C4" w14:textId="77777777" w:rsidR="00AB3791" w:rsidRPr="00E87003" w:rsidRDefault="00AB3791" w:rsidP="00AB3791">
      <w:r w:rsidRPr="00E87003">
        <w:t>В связи с повышением пенсионного возраста в 2024 году на пенсию вышли женщины 1966 года рождения и мужчины 1961 года рождения, которым исполнилось 58 лет и 63 года соответственно. В 2027 году пенсионный возраст вырастет до 59 лет для женщин и 64 - для мужчин (1962 и 1967 годы рождения).</w:t>
      </w:r>
    </w:p>
    <w:p w14:paraId="4AC97089" w14:textId="77777777" w:rsidR="00AB3791" w:rsidRPr="00E87003" w:rsidRDefault="00AB3791" w:rsidP="00AB3791">
      <w:r w:rsidRPr="00E87003">
        <w:t>А вот между этими периодами никто не начнет получать пенсию по старости, за исключением особых категорий граждан, о которых расскажем дальше в статье.</w:t>
      </w:r>
    </w:p>
    <w:p w14:paraId="2CEF0D7D" w14:textId="77777777" w:rsidR="00AB3791" w:rsidRPr="00E87003" w:rsidRDefault="00AB3791" w:rsidP="00AB3791">
      <w:r w:rsidRPr="00E87003">
        <w:t>До начала реформы в 2018 году возраст выхода на пенсию для женщин и мужчин был меньше на три года: 55 и 60 лет соответственно.</w:t>
      </w:r>
    </w:p>
    <w:p w14:paraId="69E54674" w14:textId="77777777" w:rsidR="00AB3791" w:rsidRPr="00E87003" w:rsidRDefault="00AB3791" w:rsidP="00AB3791">
      <w:r w:rsidRPr="00E87003">
        <w:t>Суть пенсионной реформы в России</w:t>
      </w:r>
    </w:p>
    <w:p w14:paraId="1BCCCC60" w14:textId="77777777" w:rsidR="00AB3791" w:rsidRPr="00E87003" w:rsidRDefault="00AB3791" w:rsidP="00AB3791">
      <w:r w:rsidRPr="00E87003">
        <w:t>Поправки для реализации пенсионной реформы приняли в октябре 2018 года, а сама она стартовала с 1 января 2019-го, рассказал «Ленте.ру» управляющий партнер «Консалтинговой компании «2Б Диалог» Борис Богоутдинов.</w:t>
      </w:r>
    </w:p>
    <w:p w14:paraId="1AC9387F" w14:textId="77777777" w:rsidR="00AB3791" w:rsidRPr="00E87003" w:rsidRDefault="00AB3791" w:rsidP="00AB3791">
      <w:r w:rsidRPr="00E87003">
        <w:t>Переходный период займет 10 лет. К началу 2029 года мужчины смогут получать пенсию с 65 лет, а женщины - с 60 лет</w:t>
      </w:r>
    </w:p>
    <w:p w14:paraId="34892DC3" w14:textId="77777777" w:rsidR="00AB3791" w:rsidRPr="00E87003" w:rsidRDefault="00AB3791" w:rsidP="00AB3791">
      <w:r w:rsidRPr="00E87003">
        <w:t>Повышение возраста выхода на заслуженный отдых происходит поэтапно. Например, в 2022 году на пенсию вышли женщины и мужчины, которым исполнилось 56 лет и 6 месяцев и 61 год и 6 месяцев соответственно.</w:t>
      </w:r>
    </w:p>
    <w:p w14:paraId="0DAD7293" w14:textId="77777777" w:rsidR="00AB3791" w:rsidRPr="00E87003" w:rsidRDefault="00AB3791" w:rsidP="00AB3791">
      <w:r w:rsidRPr="00E87003">
        <w:t>«В связи с особенностями реформы в прошлом году никто из россиян не выходил на заслуженный отдых на общих основаниях. То же самое будет происходить в 2025 и 2027 годах», - уточнил Борис Богоутдинов.</w:t>
      </w:r>
    </w:p>
    <w:p w14:paraId="521137FC" w14:textId="77777777" w:rsidR="00AB3791" w:rsidRPr="00E87003" w:rsidRDefault="00AB3791" w:rsidP="00AB3791">
      <w:r w:rsidRPr="00E87003">
        <w:t>Кто может получать страховую пенсию по старости в 2025 году</w:t>
      </w:r>
    </w:p>
    <w:p w14:paraId="799D9C6E" w14:textId="77777777" w:rsidR="00AB3791" w:rsidRPr="00E87003" w:rsidRDefault="00AB3791" w:rsidP="00AB3791">
      <w:r w:rsidRPr="00E87003">
        <w:t>Выйти на пенсию по возрасту в 2025 году нельзя. Но есть другие ситуации, в которых человек все-таки сможет стать пенсионером. Например, если он уже получил это право в предыдущие годы, но не воспользовался им. Каждый сотрудник, который достиг нужного возраста, может отказаться выходить на пенсию и продолжить работать. Потом он имеет право выйти на пенсию в любой момент, просто поставив руководителя в известность.</w:t>
      </w:r>
    </w:p>
    <w:p w14:paraId="2E8718A8" w14:textId="77777777" w:rsidR="00AB3791" w:rsidRPr="00E87003" w:rsidRDefault="00AB3791" w:rsidP="00AB3791">
      <w:r w:rsidRPr="00E87003">
        <w:lastRenderedPageBreak/>
        <w:t>Также можно выйти на пенсию досрочно.</w:t>
      </w:r>
    </w:p>
    <w:p w14:paraId="0FC99FB4" w14:textId="77777777" w:rsidR="00AB3791" w:rsidRPr="00E87003" w:rsidRDefault="00AB3791" w:rsidP="00AB3791">
      <w:r w:rsidRPr="00E87003">
        <w:t>Кто может выйти на пенсию досрочно</w:t>
      </w:r>
    </w:p>
    <w:p w14:paraId="4500787C" w14:textId="77777777" w:rsidR="00AB3791" w:rsidRPr="00E87003" w:rsidRDefault="00AB3791" w:rsidP="00AB3791">
      <w:r w:rsidRPr="00E87003">
        <w:t>Выйти на пенсию досрочно в 2025 году смогут некоторые категории граждан, у которых есть право на заслуженный отдых. Это представители определенных профессий, многодетные матери и жители Крайнего Севера.</w:t>
      </w:r>
    </w:p>
    <w:p w14:paraId="3E1AFA73" w14:textId="77777777" w:rsidR="00AB3791" w:rsidRPr="00E87003" w:rsidRDefault="00AB3791" w:rsidP="00AB3791">
      <w:r w:rsidRPr="00E87003">
        <w:t>Россияне с продолжительным трудовым стажем</w:t>
      </w:r>
    </w:p>
    <w:p w14:paraId="2C06D99B" w14:textId="77777777" w:rsidR="00AB3791" w:rsidRPr="00E87003" w:rsidRDefault="00AB3791" w:rsidP="00AB3791">
      <w:r w:rsidRPr="00E87003">
        <w:t>В 2025 году выйти на пенсию по старости на два года раньше смогут женщины в возрасте 57 лет, у которых накопилось 37 лет стажа, а также мужчины 62 лет при наличии 42 лет стажа.</w:t>
      </w:r>
    </w:p>
    <w:p w14:paraId="1DD6E242" w14:textId="77777777" w:rsidR="00AB3791" w:rsidRPr="00E87003" w:rsidRDefault="00AB3791" w:rsidP="00AB3791">
      <w:r w:rsidRPr="00E87003">
        <w:t>Безработные предпенсионеры</w:t>
      </w:r>
    </w:p>
    <w:p w14:paraId="57B2B460" w14:textId="77777777" w:rsidR="00AB3791" w:rsidRPr="00E87003" w:rsidRDefault="00AB3791" w:rsidP="00AB3791">
      <w:r w:rsidRPr="00E87003">
        <w:t>Право выхода на досрочную пенсию есть у россиян предпенсионного возраста, которые потеряли заработок и не могут найти новую работу. Однако в таком случае нужно попасть под определенные критерии.</w:t>
      </w:r>
    </w:p>
    <w:p w14:paraId="7DBE9BC4" w14:textId="77777777" w:rsidR="00AB3791" w:rsidRPr="00E87003" w:rsidRDefault="00AB3791" w:rsidP="00AB3791">
      <w:r w:rsidRPr="00E87003">
        <w:t>Условия для досрочной пенсии безработным предпенсионерам</w:t>
      </w:r>
    </w:p>
    <w:p w14:paraId="146AA6B1" w14:textId="77777777" w:rsidR="00AB3791" w:rsidRPr="00E87003" w:rsidRDefault="00AB3791" w:rsidP="00AB3791">
      <w:r w:rsidRPr="00E87003">
        <w:t>1.</w:t>
      </w:r>
      <w:r w:rsidRPr="00E87003">
        <w:tab/>
        <w:t>Безработный состоит на учете в службе занятости.</w:t>
      </w:r>
    </w:p>
    <w:p w14:paraId="5A898AC6" w14:textId="77777777" w:rsidR="00AB3791" w:rsidRPr="00E87003" w:rsidRDefault="00AB3791" w:rsidP="00AB3791">
      <w:r w:rsidRPr="00E87003">
        <w:t>2.</w:t>
      </w:r>
      <w:r w:rsidRPr="00E87003">
        <w:tab/>
        <w:t>Имеет необходимый стаж и достаточное количество ИПК.</w:t>
      </w:r>
    </w:p>
    <w:p w14:paraId="699DA9CA" w14:textId="77777777" w:rsidR="00AB3791" w:rsidRPr="00E87003" w:rsidRDefault="00AB3791" w:rsidP="00AB3791">
      <w:r w:rsidRPr="00E87003">
        <w:t>3.</w:t>
      </w:r>
      <w:r w:rsidRPr="00E87003">
        <w:tab/>
        <w:t>Есть предложение от службы занятости и согласие безработного.</w:t>
      </w:r>
    </w:p>
    <w:p w14:paraId="60879EBF" w14:textId="77777777" w:rsidR="00AB3791" w:rsidRPr="00E87003" w:rsidRDefault="00AB3791" w:rsidP="00AB3791">
      <w:r w:rsidRPr="00E87003">
        <w:t>4.</w:t>
      </w:r>
      <w:r w:rsidRPr="00E87003">
        <w:tab/>
        <w:t>Возраст предпенсионера должен быть на два года ниже установленного для назначения страховой пенсии: 56 лет для женщин и 61 год - для мужчин.</w:t>
      </w:r>
    </w:p>
    <w:p w14:paraId="4DE1E299" w14:textId="77777777" w:rsidR="00AB3791" w:rsidRPr="00E87003" w:rsidRDefault="00AB3791" w:rsidP="00AB3791">
      <w:r w:rsidRPr="00E87003">
        <w:t>Право выхода на пенсию досрочно есть и при ликвидации предприятия или сокращении сотрудников. «В этом случае, если человек не может устроиться на другую работу, у него есть возможность выйти на пенсию за два года до наступления пенсионного возраста», - отметил Борис Богоутдинов.</w:t>
      </w:r>
    </w:p>
    <w:p w14:paraId="6DBEDFEC" w14:textId="77777777" w:rsidR="00AB3791" w:rsidRPr="00E87003" w:rsidRDefault="00AB3791" w:rsidP="00AB3791">
      <w:r w:rsidRPr="00E87003">
        <w:t>Многодетные женщины</w:t>
      </w:r>
    </w:p>
    <w:p w14:paraId="4EA1407E" w14:textId="77777777" w:rsidR="00AB3791" w:rsidRPr="00E87003" w:rsidRDefault="00AB3791" w:rsidP="00AB3791">
      <w:r w:rsidRPr="00E87003">
        <w:t>Женщина, родившая и воспитавшая троих детей, может выйти на пенсию в 57 лет, четверых - в 56 лет, а пятерых и более - в 50 лет.</w:t>
      </w:r>
    </w:p>
    <w:p w14:paraId="1B340103" w14:textId="77777777" w:rsidR="00AB3791" w:rsidRPr="00E87003" w:rsidRDefault="00AB3791" w:rsidP="00AB3791">
      <w:r w:rsidRPr="00E87003">
        <w:t>На момент оформления досрочной пенсии все дети должны быть старше восьми лет. При этом страховой стаж женщины должен быть 15 лет, а ИПК - не менее 30</w:t>
      </w:r>
    </w:p>
    <w:p w14:paraId="35177E66" w14:textId="77777777" w:rsidR="00AB3791" w:rsidRPr="00E87003" w:rsidRDefault="00AB3791" w:rsidP="00AB3791">
      <w:r w:rsidRPr="00E87003">
        <w:t>Учителя, врачи и артисты</w:t>
      </w:r>
    </w:p>
    <w:p w14:paraId="6158CC45" w14:textId="77777777" w:rsidR="00AB3791" w:rsidRPr="00E87003" w:rsidRDefault="00AB3791" w:rsidP="00AB3791">
      <w:r w:rsidRPr="00E87003">
        <w:t>«У представителей этих профессий есть возможность выйти на пенсию досрочно через три года после набора 25-летнего стажа», - отметил Борис Богоутдинов.</w:t>
      </w:r>
    </w:p>
    <w:p w14:paraId="26A15C45" w14:textId="77777777" w:rsidR="00AB3791" w:rsidRPr="00E87003" w:rsidRDefault="00AB3791" w:rsidP="00AB3791">
      <w:r w:rsidRPr="00E87003">
        <w:t>Например, в 2025 году учитель сможет выйти на пенсию, если в 2022 году продолжительность его стажа достигла 25 лет.</w:t>
      </w:r>
    </w:p>
    <w:p w14:paraId="175D7772" w14:textId="77777777" w:rsidR="00AB3791" w:rsidRPr="00E87003" w:rsidRDefault="00AB3791" w:rsidP="00AB3791">
      <w:r w:rsidRPr="00E87003">
        <w:t>Медработникам для выхода на досрочную пенсию в 2025 году к 2022 году надо отработать минимум 30 лет в городах или не менее 25 лет в сельской местности или поселках городского типа.</w:t>
      </w:r>
    </w:p>
    <w:p w14:paraId="77BC029D" w14:textId="77777777" w:rsidR="00AB3791" w:rsidRPr="00E87003" w:rsidRDefault="00AB3791" w:rsidP="00AB3791">
      <w:r w:rsidRPr="00E87003">
        <w:t xml:space="preserve">Артисты театра и театрально-зрелищных организаций в 2025 году могут выйти на пенсию досрочно при стаже от 15 до 30 лет - в зависимости от специальности. </w:t>
      </w:r>
      <w:r w:rsidRPr="00E87003">
        <w:lastRenderedPageBreak/>
        <w:t>Например, циркачам достаточно накопить 15 лет стажа к 2022 году, а артистам хора - 30 лет.</w:t>
      </w:r>
    </w:p>
    <w:p w14:paraId="02BD35B4" w14:textId="77777777" w:rsidR="00AB3791" w:rsidRPr="00E87003" w:rsidRDefault="00AB3791" w:rsidP="00AB3791">
      <w:r w:rsidRPr="00E87003">
        <w:t>С 2023 года период ожидания выхода на пенсию с момента выработки стажа вырос с трех до пяти лет. Получается, если стаж педагога, медика или артиста достигнет нужной отметки в 2025 году, он сможет выйти на пенсию только в 2030-м</w:t>
      </w:r>
    </w:p>
    <w:p w14:paraId="2FC1E6D3" w14:textId="77777777" w:rsidR="00AB3791" w:rsidRPr="00E87003" w:rsidRDefault="00AB3791" w:rsidP="00AB3791">
      <w:r w:rsidRPr="00E87003">
        <w:t>Жители Севера и Дальнего Востока</w:t>
      </w:r>
    </w:p>
    <w:p w14:paraId="3CC0FB7B" w14:textId="77777777" w:rsidR="00AB3791" w:rsidRPr="00E87003" w:rsidRDefault="00AB3791" w:rsidP="00AB3791">
      <w:r w:rsidRPr="00E87003">
        <w:t>Жители Крайнего Севера и местностей, которые к нему приравнены, могут выйти на пенсию на пять лет раньше. В 2025 году такое право есть у женщин по достижении 55 лет, а также у мужчин, как только им исполнится 60 лет.</w:t>
      </w:r>
    </w:p>
    <w:p w14:paraId="527C6B75" w14:textId="77777777" w:rsidR="00AB3791" w:rsidRPr="00E87003" w:rsidRDefault="00AB3791" w:rsidP="00AB3791">
      <w:r w:rsidRPr="00E87003">
        <w:t>При этом женщины должны накопить не менее 20 лет общего страхового стажа, а мужчины - минимум 25 лет. Из них не менее 15 лет нужно отработать на Севере либо не менее 20 - в приравненных к нему местностях. Кроме того, накопленных ИПК должно быть 30 или больше.</w:t>
      </w:r>
    </w:p>
    <w:p w14:paraId="0A33562D" w14:textId="77777777" w:rsidR="00AB3791" w:rsidRPr="00E87003" w:rsidRDefault="00AB3791" w:rsidP="00AB3791">
      <w:r w:rsidRPr="00E87003">
        <w:t>Также досрочно выйти на пенсию могут оленеводы, рыбаки и охотники-промысловики. Женщины имеют право на заслуженный отдых в 45 лет, если к этому возрасту смогли накопить 20 лет стажа, а мужчины - в 50 лет, получив 25 лет стажа.</w:t>
      </w:r>
    </w:p>
    <w:p w14:paraId="6E7DBAAF" w14:textId="77777777" w:rsidR="00AB3791" w:rsidRPr="00E87003" w:rsidRDefault="00AB3791" w:rsidP="00AB3791">
      <w:r w:rsidRPr="00E87003">
        <w:t>Женщины могут уйти на пенсию в 50 лет, если родили двоих или более детей. Важно, чтобы стаж работы на Крайнем Севере был 12 лет или больше, а на приравненных к нему территориях - 17 лет или больше</w:t>
      </w:r>
    </w:p>
    <w:p w14:paraId="686FD092" w14:textId="77777777" w:rsidR="00AB3791" w:rsidRPr="00E87003" w:rsidRDefault="00AB3791" w:rsidP="00AB3791">
      <w:r w:rsidRPr="00E87003">
        <w:t>Кроме того, выйти на пенсию досрочно можно следующим категориям граждан.</w:t>
      </w:r>
    </w:p>
    <w:p w14:paraId="24A15AC4" w14:textId="77777777" w:rsidR="00AB3791" w:rsidRPr="00E87003" w:rsidRDefault="00AB3791" w:rsidP="00AB3791">
      <w:r w:rsidRPr="00E87003">
        <w:t>•</w:t>
      </w:r>
      <w:r w:rsidRPr="00E87003">
        <w:tab/>
        <w:t>Представителям определенных профессий, которые выполняли обязанности в течение длительного времени. Например, спасатели МЧС могут выйти на пенсию в 40 лет после 15 лет службы.</w:t>
      </w:r>
    </w:p>
    <w:p w14:paraId="5D23CFFE" w14:textId="77777777" w:rsidR="00AB3791" w:rsidRPr="00E87003" w:rsidRDefault="00AB3791" w:rsidP="00AB3791">
      <w:r w:rsidRPr="00E87003">
        <w:t>•</w:t>
      </w:r>
      <w:r w:rsidRPr="00E87003">
        <w:tab/>
        <w:t>По состоянию здоровья или социальным мотивам. Например, опекуны инвалидов с детства могут уйти на пенсию на пять лет раньше (за каждые 1,5 года опеки пенсионный возраст снижается на год). Для этого у мужчин должен быть 20-летний стаж, а у женщин - 15-летний.</w:t>
      </w:r>
    </w:p>
    <w:p w14:paraId="41EF255B" w14:textId="77777777" w:rsidR="00AB3791" w:rsidRPr="00E87003" w:rsidRDefault="00AB3791" w:rsidP="00AB3791">
      <w:r w:rsidRPr="00E87003">
        <w:t>•</w:t>
      </w:r>
      <w:r w:rsidRPr="00E87003">
        <w:tab/>
        <w:t>Сотрудникам вредных производств. Например, шахтеры, металлурги и сотрудники химпроизводств могут уйти на пенсию в 45 лет (женщины) и в 50 лет (мужчины). Они должны накопить не менее 7,5 или 10 лет стажа работы на вредном производстве соответственно.</w:t>
      </w:r>
    </w:p>
    <w:p w14:paraId="0E78E4FC" w14:textId="77777777" w:rsidR="00AB3791" w:rsidRPr="00E87003" w:rsidRDefault="00AB3791" w:rsidP="00AB3791">
      <w:r w:rsidRPr="00E87003">
        <w:t>Что сделать будущим пенсионерам в 2025 году</w:t>
      </w:r>
    </w:p>
    <w:p w14:paraId="4EF5519E" w14:textId="77777777" w:rsidR="00AB3791" w:rsidRPr="00E87003" w:rsidRDefault="00AB3791" w:rsidP="00AB3791">
      <w:r w:rsidRPr="00E87003">
        <w:t>Тем, у кого приближается пенсионный возраст, стоит заранее проверить, соблюдены ли определенные условия.</w:t>
      </w:r>
    </w:p>
    <w:p w14:paraId="3448EB79" w14:textId="77777777" w:rsidR="00AB3791" w:rsidRPr="00E87003" w:rsidRDefault="00AB3791" w:rsidP="00AB3791">
      <w:r w:rsidRPr="00E87003">
        <w:t>Условия выхода на страховую пенсию по старости в 2026 году</w:t>
      </w:r>
    </w:p>
    <w:p w14:paraId="6C7E48F6" w14:textId="77777777" w:rsidR="00AB3791" w:rsidRPr="00E87003" w:rsidRDefault="00AB3791" w:rsidP="00AB3791">
      <w:r w:rsidRPr="00E87003">
        <w:t>1.</w:t>
      </w:r>
      <w:r w:rsidRPr="00E87003">
        <w:tab/>
        <w:t>Женщине исполнится 59 лет, а мужчине - 64 лет.</w:t>
      </w:r>
    </w:p>
    <w:p w14:paraId="43C1F490" w14:textId="77777777" w:rsidR="00AB3791" w:rsidRPr="00E87003" w:rsidRDefault="00AB3791" w:rsidP="00AB3791">
      <w:r w:rsidRPr="00E87003">
        <w:t>2.</w:t>
      </w:r>
      <w:r w:rsidRPr="00E87003">
        <w:tab/>
        <w:t xml:space="preserve">Накоплено не менее 15 лет стажа. </w:t>
      </w:r>
    </w:p>
    <w:p w14:paraId="02D00112" w14:textId="77777777" w:rsidR="00AB3791" w:rsidRPr="00E87003" w:rsidRDefault="00AB3791" w:rsidP="00AB3791">
      <w:r w:rsidRPr="00E87003">
        <w:t>Что такое индивидуальные пенсионные коэффициенты?</w:t>
      </w:r>
    </w:p>
    <w:p w14:paraId="00C5D155" w14:textId="77777777" w:rsidR="00AB3791" w:rsidRPr="00E87003" w:rsidRDefault="00AB3791" w:rsidP="00AB3791">
      <w:r w:rsidRPr="00E87003">
        <w:t xml:space="preserve">Индивидуальные пенсионные коэффициенты (ИПК, или пенсионные баллы) - показатель, который влияет на размер пенсии. Им оценивают каждый год работы </w:t>
      </w:r>
      <w:r w:rsidRPr="00E87003">
        <w:lastRenderedPageBreak/>
        <w:t>россиянина с учетом того, сколько денег компания отчисляет в Социальный фонд России (СФР). Учитывают при этом только официальное трудоустройство и официальную заработную плату. При этом ИПК начисляют не только за работу: в баллы пересчитываются служба по призыву в армии, уход за детьми, инвалидами и пожилыми людьми.</w:t>
      </w:r>
    </w:p>
    <w:p w14:paraId="3FFC496D" w14:textId="77777777" w:rsidR="00AB3791" w:rsidRPr="00E87003" w:rsidRDefault="00AB3791" w:rsidP="00AB3791">
      <w:r w:rsidRPr="00E87003">
        <w:t>«Ежегодно зарплата человека конвертируется в определенное количество пенсионных баллов. Но чем значительнее растет ваша зарплата, тем больше вы копите баллов. И наоборот: если ваша зарплата выше среднего, но не растет год от года, то количество пенсионных баллов будет уменьшаться. Это связано с методикой расчета пенсионных коэффициентов», - рассказала «Ленте.ру» специалист по социальной политике финансового маркетплейса «Выберу.ру» Анастасия Тарасова.</w:t>
      </w:r>
    </w:p>
    <w:p w14:paraId="4C99B721" w14:textId="77777777" w:rsidR="00AB3791" w:rsidRPr="00E87003" w:rsidRDefault="00AB3791" w:rsidP="00AB3791">
      <w:r w:rsidRPr="00E87003">
        <w:t>Специалисты «Выберу.ру» рассчитали, сколько ИПК мог заработать человек до 2025 года при зарплате в 50 тысяч рублей:</w:t>
      </w:r>
    </w:p>
    <w:p w14:paraId="4013403C" w14:textId="77777777" w:rsidR="00AB3791" w:rsidRPr="00E87003" w:rsidRDefault="00AB3791" w:rsidP="00AB3791">
      <w:r w:rsidRPr="00E87003">
        <w:t>•</w:t>
      </w:r>
      <w:r w:rsidRPr="00E87003">
        <w:tab/>
        <w:t>в 2019 году - 5,2 балла;</w:t>
      </w:r>
    </w:p>
    <w:p w14:paraId="3D941012" w14:textId="77777777" w:rsidR="00AB3791" w:rsidRPr="00E87003" w:rsidRDefault="00AB3791" w:rsidP="00AB3791">
      <w:r w:rsidRPr="00E87003">
        <w:t>•</w:t>
      </w:r>
      <w:r w:rsidRPr="00E87003">
        <w:tab/>
        <w:t>в 2020 году - 4,6 балла;</w:t>
      </w:r>
    </w:p>
    <w:p w14:paraId="743946F2" w14:textId="77777777" w:rsidR="00AB3791" w:rsidRPr="00E87003" w:rsidRDefault="00AB3791" w:rsidP="00AB3791">
      <w:r w:rsidRPr="00E87003">
        <w:t>•</w:t>
      </w:r>
      <w:r w:rsidRPr="00E87003">
        <w:tab/>
        <w:t>в 2021 году - 4,0 балла;</w:t>
      </w:r>
    </w:p>
    <w:p w14:paraId="5463ABE5" w14:textId="77777777" w:rsidR="00AB3791" w:rsidRPr="00E87003" w:rsidRDefault="00AB3791" w:rsidP="00AB3791">
      <w:r w:rsidRPr="00E87003">
        <w:t>•</w:t>
      </w:r>
      <w:r w:rsidRPr="00E87003">
        <w:tab/>
        <w:t>в 2022 году - 3,8 балла;</w:t>
      </w:r>
    </w:p>
    <w:p w14:paraId="0EC6654F" w14:textId="77777777" w:rsidR="00AB3791" w:rsidRPr="00E87003" w:rsidRDefault="00AB3791" w:rsidP="00AB3791">
      <w:r w:rsidRPr="00E87003">
        <w:t>•</w:t>
      </w:r>
      <w:r w:rsidRPr="00E87003">
        <w:tab/>
        <w:t>в 2023 году - 3,1 балла;</w:t>
      </w:r>
    </w:p>
    <w:p w14:paraId="6C293780" w14:textId="77777777" w:rsidR="00AB3791" w:rsidRPr="00E87003" w:rsidRDefault="00AB3791" w:rsidP="00AB3791">
      <w:r w:rsidRPr="00E87003">
        <w:t>•</w:t>
      </w:r>
      <w:r w:rsidRPr="00E87003">
        <w:tab/>
        <w:t>в 2024 году - 2,7 балла.</w:t>
      </w:r>
    </w:p>
    <w:p w14:paraId="0443255C" w14:textId="77777777" w:rsidR="00AB3791" w:rsidRPr="00E87003" w:rsidRDefault="00AB3791" w:rsidP="00AB3791">
      <w:r w:rsidRPr="00E87003">
        <w:t>Размер страховой пенсии по старости складывается из фиксированной части (она у всех одинаковая) и стоимости накопленных ИПК, поэтому назначение выплаты зависит от величины индивидуального пенсионного коэффициента. В 2025 году фиксированная выплата составит 8 907,7 рубля, а стоимость одного пенсионного балла - 145,69 рубля.</w:t>
      </w:r>
    </w:p>
    <w:p w14:paraId="1EFCF7A4" w14:textId="77777777" w:rsidR="00AB3791" w:rsidRPr="00E87003" w:rsidRDefault="00AB3791" w:rsidP="00AB3791">
      <w:r w:rsidRPr="00E87003">
        <w:t>Россиянам предпенсионного возраста, которые собираются получать страховую пенсию по старости, стоит заранее проверить сведения о своем трудовом стаже, заработной плате, количестве ИПК и другую важную информацию, чтобы избежать лишних сложностей. «Граждане могут сделать это самостоятельно, запросив выписку из индивидуального лицевого счета на официальном сайте Социального фонда России (СФР, бывший Пенсионный фонд), а также на портале "Госуслуги". Кроме того, можно обратиться в клиентскую службу СФР или в МФЦ», - отметил Борис Богоутдинов.</w:t>
      </w:r>
    </w:p>
    <w:p w14:paraId="69B51169" w14:textId="77777777" w:rsidR="00AB3791" w:rsidRPr="00E87003" w:rsidRDefault="00AB3791" w:rsidP="00AB3791">
      <w:r w:rsidRPr="00E87003">
        <w:t>Что делать, если ИПК недостаточно</w:t>
      </w:r>
    </w:p>
    <w:p w14:paraId="6269EA3F" w14:textId="77777777" w:rsidR="00AB3791" w:rsidRPr="00E87003" w:rsidRDefault="00AB3791" w:rsidP="00AB3791">
      <w:r w:rsidRPr="00E87003">
        <w:t>Если выяснится, что пенсионных баллов недостаточно, их можно добрать двумя способами.</w:t>
      </w:r>
    </w:p>
    <w:p w14:paraId="144C4B74" w14:textId="77777777" w:rsidR="00AB3791" w:rsidRPr="00E87003" w:rsidRDefault="00AB3791" w:rsidP="00AB3791">
      <w:r w:rsidRPr="00E87003">
        <w:t>1.</w:t>
      </w:r>
      <w:r w:rsidRPr="00E87003">
        <w:tab/>
        <w:t>Продолжить работать. В таком случае у пенсионера будет возможность накопить новые баллы, а также получить коэффициент повышения как ИПК, так и фиксированной выплаты, отметил Борис Богоутдинов.</w:t>
      </w:r>
    </w:p>
    <w:p w14:paraId="4DF76F71" w14:textId="77777777" w:rsidR="00AB3791" w:rsidRPr="00E87003" w:rsidRDefault="00AB3791" w:rsidP="00AB3791">
      <w:r w:rsidRPr="00E87003">
        <w:t>2.</w:t>
      </w:r>
      <w:r w:rsidRPr="00E87003">
        <w:tab/>
        <w:t xml:space="preserve">Докупить недостающие ИПК. Это можно сделать, только если предпенсионер не работает и добровольно вступает в отношения по обязательному пенсионному страхованию. </w:t>
      </w:r>
    </w:p>
    <w:p w14:paraId="287B14C6" w14:textId="77777777" w:rsidR="00AB3791" w:rsidRPr="00E87003" w:rsidRDefault="00AB3791" w:rsidP="00AB3791">
      <w:r w:rsidRPr="00E87003">
        <w:t>Как докупить ИПК</w:t>
      </w:r>
    </w:p>
    <w:p w14:paraId="14D8B7CA" w14:textId="77777777" w:rsidR="00AB3791" w:rsidRPr="00E87003" w:rsidRDefault="00AB3791" w:rsidP="00AB3791">
      <w:r w:rsidRPr="00E87003">
        <w:lastRenderedPageBreak/>
        <w:t>Чтобы купить пенсионные баллы, нужно подать в СФР заявление о намерении уплатить страховые взносы. Сделать это можно в отделении фонда, на официальном сайте или по почте.</w:t>
      </w:r>
    </w:p>
    <w:p w14:paraId="590F7B46" w14:textId="77777777" w:rsidR="00AB3791" w:rsidRPr="00E87003" w:rsidRDefault="00AB3791" w:rsidP="00AB3791">
      <w:r w:rsidRPr="00E87003">
        <w:t>Стоимость одного пенсионного балла зависит от МРОТ. Она рассчитывается по формуле: МРОТ х 22% х 12%. В 2025 году МРОТ сделали равным 22 440 рубля, поэтому формула расчета будет выглядеть так: 22 440 х 22% х 12% = 59 241,6 рубля. Это сумма минимального взноса. На нее можно приобрести 1,038 балла.</w:t>
      </w:r>
    </w:p>
    <w:p w14:paraId="41F923CA" w14:textId="77777777" w:rsidR="00AB3791" w:rsidRPr="00E87003" w:rsidRDefault="00AB3791" w:rsidP="00AB3791">
      <w:r w:rsidRPr="00E87003">
        <w:t>Как оформить страховую пенсию по старости</w:t>
      </w:r>
    </w:p>
    <w:p w14:paraId="0DDEE3CA" w14:textId="77777777" w:rsidR="00AB3791" w:rsidRPr="00E87003" w:rsidRDefault="00AB3791" w:rsidP="00AB3791">
      <w:r w:rsidRPr="00E87003">
        <w:t>Обратиться за назначением пенсии можно в любой момент после того, как у россиянина появилось такое право. Ждать достижения установленного возраста не обязательно: можно подать заявление за месяц до этого, но не ранее. Сделать это можно в МФЦ, отделении СФР, по почте, через работодателя или на портале «Госуслуги».</w:t>
      </w:r>
    </w:p>
    <w:p w14:paraId="3AD562F9" w14:textId="77777777" w:rsidR="00AB3791" w:rsidRPr="00E87003" w:rsidRDefault="00AB3791" w:rsidP="00AB3791">
      <w:r w:rsidRPr="00E87003">
        <w:t>Заявление может подать как сам предпенсионер, так и его представитель</w:t>
      </w:r>
    </w:p>
    <w:p w14:paraId="2742B2D7" w14:textId="77777777" w:rsidR="00AB3791" w:rsidRPr="00E87003" w:rsidRDefault="00AB3791" w:rsidP="00AB3791">
      <w:r w:rsidRPr="00E87003">
        <w:t xml:space="preserve">Кроме заявления, россиянин, который планирует оформить пенсию по старости, должен собрать определенные документы. </w:t>
      </w:r>
    </w:p>
    <w:p w14:paraId="44D3A76A" w14:textId="77777777" w:rsidR="00AB3791" w:rsidRPr="00E87003" w:rsidRDefault="00AB3791" w:rsidP="00AB3791">
      <w:r w:rsidRPr="00E87003">
        <w:t>1.</w:t>
      </w:r>
      <w:r w:rsidRPr="00E87003">
        <w:tab/>
        <w:t>Паспорт или другой документ, удостоверяющий личность.</w:t>
      </w:r>
    </w:p>
    <w:p w14:paraId="06CA6806" w14:textId="77777777" w:rsidR="00AB3791" w:rsidRPr="00E87003" w:rsidRDefault="00AB3791" w:rsidP="00AB3791">
      <w:r w:rsidRPr="00E87003">
        <w:t>2.</w:t>
      </w:r>
      <w:r w:rsidRPr="00E87003">
        <w:tab/>
        <w:t>Трудовая книжка. Если ее нет или в ней указана не вся информация, подтвердить стаж можно другими документами, например, трудовыми договорами, зарплатными ведомостями или выписками из приказов.</w:t>
      </w:r>
    </w:p>
    <w:p w14:paraId="1E0571D8" w14:textId="77777777" w:rsidR="00AB3791" w:rsidRPr="00E87003" w:rsidRDefault="00AB3791" w:rsidP="00AB3791">
      <w:r w:rsidRPr="00E87003">
        <w:t>Все документы должны быть правильно оформлены и содержать все необходимые данные.</w:t>
      </w:r>
    </w:p>
    <w:p w14:paraId="51ED1FC5" w14:textId="77777777" w:rsidR="00AB3791" w:rsidRPr="00E87003" w:rsidRDefault="00AB3791" w:rsidP="00AB3791">
      <w:r w:rsidRPr="00E87003">
        <w:t>Также отдельные документы понадобятся для подтверждения дополнительных обстоятельств. Например, если будущий пенсионер в какой-то момент менял фамилию, ему нужно предоставить подтверждение этому: например, свидетельство о браке.</w:t>
      </w:r>
    </w:p>
    <w:p w14:paraId="10E89A2B" w14:textId="77777777" w:rsidR="00AB3791" w:rsidRPr="00E87003" w:rsidRDefault="00AB3791" w:rsidP="00AB3791">
      <w:r w:rsidRPr="00E87003">
        <w:t>Страховая пенсия по старости назначается со дня обращения, но не раньше, чем у человека появится такое право</w:t>
      </w:r>
    </w:p>
    <w:p w14:paraId="466F0FAE" w14:textId="77777777" w:rsidR="00AB3791" w:rsidRPr="00E87003" w:rsidRDefault="00AB3791" w:rsidP="00AB3791">
      <w:r w:rsidRPr="00E87003">
        <w:t>Возраст выхода на социальную пенсию по старости</w:t>
      </w:r>
    </w:p>
    <w:p w14:paraId="2DB9588F" w14:textId="77777777" w:rsidR="00AB3791" w:rsidRPr="00E87003" w:rsidRDefault="00AB3791" w:rsidP="00AB3791">
      <w:r w:rsidRPr="00E87003">
        <w:t>Если гражданам, которые достигли пенсионного возраста, не хватает стажа или ИПК, они не смогут получить страховую пенсию. Но это не значит, что они останутся без материальной поддержки. Вместо страховой им назначат социальную пенсию - но на пять лет позже.</w:t>
      </w:r>
    </w:p>
    <w:p w14:paraId="3A873154" w14:textId="77777777" w:rsidR="00AB3791" w:rsidRPr="00E87003" w:rsidRDefault="00AB3791" w:rsidP="00AB3791">
      <w:r w:rsidRPr="00E87003">
        <w:t>Социальная пенсия не зависит от ИПК или стажа</w:t>
      </w:r>
    </w:p>
    <w:p w14:paraId="6F7C3303" w14:textId="77777777" w:rsidR="00AB3791" w:rsidRPr="00E87003" w:rsidRDefault="00AB3791" w:rsidP="00AB3791">
      <w:r w:rsidRPr="00E87003">
        <w:t>Получить такую пенсию могут даже россияне, которые никогда не работали или всю жизнь работали неофициально. В 2025 году социальную пенсию проиндексируют на 14,75 процента, так что в среднем она составит 15 456 рублей.</w:t>
      </w:r>
    </w:p>
    <w:p w14:paraId="0ABDEF95" w14:textId="77777777" w:rsidR="00AB3791" w:rsidRPr="00E87003" w:rsidRDefault="00AB3791" w:rsidP="00AB3791">
      <w:hyperlink r:id="rId34" w:history="1">
        <w:r w:rsidRPr="00E87003">
          <w:rPr>
            <w:rStyle w:val="a3"/>
          </w:rPr>
          <w:t>https://lenta.ru/articles/2025/04/02/kto-poydet-na-pensiyu-po-starosti-v-2025-godu/</w:t>
        </w:r>
      </w:hyperlink>
      <w:r w:rsidRPr="00E87003">
        <w:t xml:space="preserve"> </w:t>
      </w:r>
    </w:p>
    <w:p w14:paraId="339CD36A" w14:textId="77777777" w:rsidR="00F576E4" w:rsidRPr="00E87003" w:rsidRDefault="00F576E4" w:rsidP="00F576E4">
      <w:pPr>
        <w:pStyle w:val="2"/>
      </w:pPr>
      <w:bookmarkStart w:id="105" w:name="_Toc194558746"/>
      <w:r w:rsidRPr="00E87003">
        <w:lastRenderedPageBreak/>
        <w:t>NEWS.ru, 02.04.2025, Стало известно, могут ли в РФ вновь поднять пенсионный возраст</w:t>
      </w:r>
      <w:bookmarkEnd w:id="105"/>
    </w:p>
    <w:p w14:paraId="22674A66" w14:textId="77777777" w:rsidR="00F576E4" w:rsidRPr="00E87003" w:rsidRDefault="00F576E4" w:rsidP="00DA2694">
      <w:pPr>
        <w:pStyle w:val="3"/>
      </w:pPr>
      <w:bookmarkStart w:id="106" w:name="_Toc194558747"/>
      <w:r w:rsidRPr="00E87003">
        <w:t>Повышение возраста молодежи в России может в конечном итоге привести к росту и пенсионного возраста, заявил NEWS.ru ведущий аналитик AMarkets Игорь Расторгуев. В то же время люди до 44 лет могут получить дополнительные плюсы на рынке труда и даже льготы.</w:t>
      </w:r>
      <w:bookmarkEnd w:id="106"/>
    </w:p>
    <w:p w14:paraId="6F9DEA11" w14:textId="77777777" w:rsidR="00F576E4" w:rsidRPr="00E87003" w:rsidRDefault="00F576E4" w:rsidP="00F576E4">
      <w:r w:rsidRPr="00E87003">
        <w:t>Обсуждаемое повышение возраста молодежи до 44 лет действительно может стать шагом к дальнейшему изменению возрастных границ в социальной политике, в том числе и к повышению пенсионного возраста. Повышение возраста молодежи также создаст дополнительные стимулы для карьерного роста и развития рынка труда, особенно в условиях технологических изменений и увеличивающейся мобильности кадров, — объясняет Расторгуев.</w:t>
      </w:r>
    </w:p>
    <w:p w14:paraId="1829852A" w14:textId="77777777" w:rsidR="00F576E4" w:rsidRPr="00E87003" w:rsidRDefault="00F576E4" w:rsidP="00F576E4">
      <w:r w:rsidRPr="00E87003">
        <w:t>Расширение рамок «молодежи» может означать продление для граждан доступа к ряду государственных программ и льгот, направленных на поддержку молодых специалистов, говорит Расторгуев. К числу таких мер относится ипотека с господдержкой, а также гранты на образование и предпринимательство.</w:t>
      </w:r>
    </w:p>
    <w:p w14:paraId="0BE660D2" w14:textId="77777777" w:rsidR="00F576E4" w:rsidRPr="00E87003" w:rsidRDefault="00F576E4" w:rsidP="00F576E4">
      <w:r w:rsidRPr="00E87003">
        <w:t>Такой подход связан с ростом продолжительности жизни и улучшением качества медицины, считает эксперт. Расторгуев отмечает, что гипотетическое повышение пенсионного возраста может сопровождаться дополнительными мерами поддержки пенсионеров.</w:t>
      </w:r>
    </w:p>
    <w:p w14:paraId="201D137C" w14:textId="77777777" w:rsidR="00F576E4" w:rsidRPr="00E87003" w:rsidRDefault="00F576E4" w:rsidP="00F576E4">
      <w:r w:rsidRPr="00E87003">
        <w:t>Депутаты Госдумы утверждают, что никаких планов об увеличении пенсионного возраста на данный момент нет. В том числе потому, что нынешний этап пенсионной реформы завершится лишь в конце 2020-х годов. Более того, председатель комитета Госдумы по вопросам собственности, земельным и имущественным отношениям (фракция КПРФ) Сергей Гаврилов недавно предложил рассчитывать пенсии исходя не из уровня инфляции, а с учетом реальных трат пожилых людей. По его мнению, индексацию надо привязать к потребительской корзине пенсионеров.</w:t>
      </w:r>
    </w:p>
    <w:p w14:paraId="1681428F" w14:textId="77777777" w:rsidR="00F576E4" w:rsidRPr="00E87003" w:rsidRDefault="00F576E4" w:rsidP="00F576E4">
      <w:hyperlink r:id="rId35" w:history="1">
        <w:r w:rsidRPr="00E87003">
          <w:rPr>
            <w:rStyle w:val="a3"/>
          </w:rPr>
          <w:t>https://news.ru/economics/stalo-izvestno-mogut-li-v-rf-vnov-podnyat-pensionnyj-vozrast/</w:t>
        </w:r>
      </w:hyperlink>
    </w:p>
    <w:p w14:paraId="77E31880" w14:textId="77777777" w:rsidR="005F79C8" w:rsidRPr="00E87003" w:rsidRDefault="005F79C8" w:rsidP="005F79C8">
      <w:pPr>
        <w:pStyle w:val="2"/>
      </w:pPr>
      <w:bookmarkStart w:id="107" w:name="_Toc194558748"/>
      <w:r w:rsidRPr="00E87003">
        <w:t>АиФ, 02.04.2025, У кого есть пенсионные накопления и как их получить?</w:t>
      </w:r>
      <w:bookmarkEnd w:id="107"/>
    </w:p>
    <w:p w14:paraId="5E2FDB50" w14:textId="77777777" w:rsidR="005F79C8" w:rsidRPr="00E87003" w:rsidRDefault="005F79C8" w:rsidP="00DA2694">
      <w:pPr>
        <w:pStyle w:val="3"/>
      </w:pPr>
      <w:bookmarkStart w:id="108" w:name="_Toc194558749"/>
      <w:r w:rsidRPr="00E87003">
        <w:t>У пенсионеров есть право получить деньги из средств пенсионных накоплений. Кто может воспользоваться этим правом, с какого возраста их можно получить и куда подавать заявление?</w:t>
      </w:r>
      <w:bookmarkEnd w:id="108"/>
    </w:p>
    <w:p w14:paraId="6CFD6CCB" w14:textId="77777777" w:rsidR="005F79C8" w:rsidRPr="00E87003" w:rsidRDefault="005F79C8" w:rsidP="005F79C8">
      <w:r w:rsidRPr="00E87003">
        <w:t>У кого есть пенсионные накопления?</w:t>
      </w:r>
    </w:p>
    <w:p w14:paraId="514394B1" w14:textId="77777777" w:rsidR="005F79C8" w:rsidRPr="00E87003" w:rsidRDefault="005F79C8" w:rsidP="005F79C8">
      <w:r w:rsidRPr="00E87003">
        <w:t>«Пенсионные накопления есть у нескольких категорий граждан, - сообщили в Отделении Социального фонда России по Республике Коми. - Это работающие граждане 1967 г. р. и моложе, за которых работодатели до 2014 г. уплачивали страховые взносы на накопительную пенсию, мужчины 1953-1966 г. р. и женщины 1957-1966 г. р., за которых с 2002 по 2004 годы работодатели платили страховые взносы на накопительную часть трудовой пенсии, участники Программы государственного софинансирования пенсий и женщины, которые направили средства материнского капитала на формирование пенсионных накоплений».</w:t>
      </w:r>
    </w:p>
    <w:p w14:paraId="28AC2856" w14:textId="77777777" w:rsidR="005F79C8" w:rsidRPr="00E87003" w:rsidRDefault="005F79C8" w:rsidP="005F79C8">
      <w:r w:rsidRPr="00E87003">
        <w:lastRenderedPageBreak/>
        <w:t>Когда можно обратиться за выплатой пенсионных накоплений?</w:t>
      </w:r>
    </w:p>
    <w:p w14:paraId="6F944381" w14:textId="77777777" w:rsidR="005F79C8" w:rsidRPr="00E87003" w:rsidRDefault="005F79C8" w:rsidP="005F79C8">
      <w:r w:rsidRPr="00E87003">
        <w:t>Обратиться за назначением выплаты из средств пенсионных накоплений можно, если вы достигли пенсионного возраста, действовавшего до его увеличения. Для северян он составляет 55 лет для мужчин и 50 лет для женщин. Главное условие: к этому возрасту у человека должен быть необходимый страховой и северный стаж и требуемое количество пенсионных коэффициентов. Их должно быть не менее 30. При этом страховой стаж женщин, претендующих на получение выплаты, должен составлять не менее 20 лет, а мужчин - 25 лет. Северный стаж мужчин и женщин должен составлять не менее 15 лет в районах Крайнего Севера или не менее 20 лет в местностях, приравненных к Крайнему Северу. Для женщин, имеющих двух, трёх или четырёх детей, северный стаж должен составлять не менее 12 лет в районах Крайнего Севера либо не менее 17 лет в приравненных к нему местностях.</w:t>
      </w:r>
    </w:p>
    <w:p w14:paraId="25EEAB05" w14:textId="77777777" w:rsidR="005F79C8" w:rsidRPr="00E87003" w:rsidRDefault="005F79C8" w:rsidP="005F79C8">
      <w:r w:rsidRPr="00E87003">
        <w:t>Куда подавать заявление на получение пенсионных накоплений?</w:t>
      </w:r>
    </w:p>
    <w:p w14:paraId="50239BBC" w14:textId="77777777" w:rsidR="005F79C8" w:rsidRPr="00E87003" w:rsidRDefault="005F79C8" w:rsidP="005F79C8">
      <w:r w:rsidRPr="00E87003">
        <w:t>Заявление о назначении выплаты подаётся в организацию, где формировались средства пенсионных накоплений, - в региональное Отделение Социального фонда России или негосударственный пенсионный фонд. Информацию о своём страховщике можно узнать из выписки о состоянии из индивидуального лицевого счёта, заказав её на портале «Госуслуги».</w:t>
      </w:r>
    </w:p>
    <w:p w14:paraId="011A48A1" w14:textId="77777777" w:rsidR="005F79C8" w:rsidRPr="00E87003" w:rsidRDefault="005F79C8" w:rsidP="005F79C8">
      <w:r w:rsidRPr="00E87003">
        <w:t>В какой форме можно получить выплату пенсионных накоплений?</w:t>
      </w:r>
    </w:p>
    <w:p w14:paraId="6860E6FB" w14:textId="77777777" w:rsidR="005F79C8" w:rsidRPr="00E87003" w:rsidRDefault="005F79C8" w:rsidP="005F79C8">
      <w:r w:rsidRPr="00E87003">
        <w:t>Выплата из средств пенсионных накоплений назначается в виде единовременной, срочной выплаты или накопительной пенсии. Единовременная выплата устанавливается, если расчётный размер накопительной пенсии составляет менее 10 % от прожиточного минимума пенсионера (в 2025 г. в целом по России он составляет 15250 руб.). Срочная выплата полагается участникам Программы государственного софинансирования пенсий и женщинам, которые направили на формирование накопительной пенсии свой материнский капитал. В остальных случаях назначается накопительная пенсия - ежемесячная бессрочная выплата.</w:t>
      </w:r>
    </w:p>
    <w:p w14:paraId="688A289D" w14:textId="77777777" w:rsidR="005F79C8" w:rsidRPr="00E87003" w:rsidRDefault="005F79C8" w:rsidP="005F79C8">
      <w:hyperlink r:id="rId36" w:history="1">
        <w:r w:rsidRPr="00E87003">
          <w:rPr>
            <w:rStyle w:val="a3"/>
          </w:rPr>
          <w:t>https://aif.ru/society/u-kogo-est-pensionnye-nakopleniya-i-kak-ih-poluchit</w:t>
        </w:r>
      </w:hyperlink>
      <w:r w:rsidRPr="00E87003">
        <w:t xml:space="preserve"> </w:t>
      </w:r>
    </w:p>
    <w:p w14:paraId="1744F6E3" w14:textId="77777777" w:rsidR="007A2019" w:rsidRPr="00E87003" w:rsidRDefault="007A2019" w:rsidP="007A2019">
      <w:pPr>
        <w:pStyle w:val="2"/>
      </w:pPr>
      <w:bookmarkStart w:id="109" w:name="_Toc194558750"/>
      <w:r w:rsidRPr="00E87003">
        <w:t>Конкурент, 02.04.2025, СФР: грядет масштабное повышение пенсий. Солидные суммы зачислят миллионам россиян</w:t>
      </w:r>
      <w:bookmarkEnd w:id="109"/>
      <w:r w:rsidRPr="00E87003">
        <w:t xml:space="preserve"> </w:t>
      </w:r>
    </w:p>
    <w:p w14:paraId="4BC032DD" w14:textId="77777777" w:rsidR="007A2019" w:rsidRPr="00E87003" w:rsidRDefault="007A2019" w:rsidP="00DA2694">
      <w:pPr>
        <w:pStyle w:val="3"/>
      </w:pPr>
      <w:bookmarkStart w:id="110" w:name="_Toc194558751"/>
      <w:r w:rsidRPr="00E87003">
        <w:t>В пресс-службе рассказали о зачислении уже повышенных пенсий гражданам России, которое начнется уже с 3 апреля. Речь идет о третьей в этом году индексации пенсий. На этот раз повышены государственные и социальные пенсии. Размер индексации составил почти 15 процентов.</w:t>
      </w:r>
      <w:bookmarkEnd w:id="110"/>
    </w:p>
    <w:p w14:paraId="276C1E4E" w14:textId="77777777" w:rsidR="007A2019" w:rsidRPr="00E87003" w:rsidRDefault="007A2019" w:rsidP="007A2019">
      <w:r w:rsidRPr="00E87003">
        <w:t>Как отметили в СФР, в ближайшее время получателям таких выплат будет зачислено в среднем по 15,5 тыс. руб. Пенсии детям-инвалидам и вовсе выросли почти до 22 тыс. руб.</w:t>
      </w:r>
    </w:p>
    <w:p w14:paraId="79D35DE4" w14:textId="77777777" w:rsidR="007A2019" w:rsidRPr="00E87003" w:rsidRDefault="007A2019" w:rsidP="007A2019">
      <w:r w:rsidRPr="00E87003">
        <w:t>Как отметил глава ведомства Сергей Чирков, новая индексация затронула свыше 4 млн граждан России.</w:t>
      </w:r>
    </w:p>
    <w:p w14:paraId="3CC5DF93" w14:textId="77777777" w:rsidR="007A2019" w:rsidRPr="00E87003" w:rsidRDefault="007A2019" w:rsidP="007A2019">
      <w:r w:rsidRPr="00E87003">
        <w:lastRenderedPageBreak/>
        <w:t>Напомним, что социальные пенсии полагаются и тем гражданам, кто к пенсионному возрасту не смог накопить нужный стаж и число пенсионных баллов, и тем, кто имеет инвалидность, а также тем, кому назначены пенсии в связи с потерей кормильца.</w:t>
      </w:r>
    </w:p>
    <w:p w14:paraId="0E1EEC0A" w14:textId="77777777" w:rsidR="007A2019" w:rsidRPr="00E87003" w:rsidRDefault="007A2019" w:rsidP="007A2019">
      <w:hyperlink r:id="rId37" w:history="1">
        <w:r w:rsidRPr="00E87003">
          <w:rPr>
            <w:rStyle w:val="a3"/>
          </w:rPr>
          <w:t>https://konkurent.ru/article/76155</w:t>
        </w:r>
      </w:hyperlink>
      <w:r w:rsidRPr="00E87003">
        <w:t xml:space="preserve"> </w:t>
      </w:r>
    </w:p>
    <w:p w14:paraId="5351E2BF" w14:textId="77777777" w:rsidR="007A2019" w:rsidRPr="00E87003" w:rsidRDefault="007A2019" w:rsidP="007A2019">
      <w:pPr>
        <w:pStyle w:val="2"/>
      </w:pPr>
      <w:bookmarkStart w:id="111" w:name="_Toc194558752"/>
      <w:r w:rsidRPr="00E87003">
        <w:t>Конкурент, 02.04.2025, Пенсионеров оставят без единой карты: глава Минтруда озвучил весомые причины</w:t>
      </w:r>
      <w:bookmarkEnd w:id="111"/>
    </w:p>
    <w:p w14:paraId="07748C30" w14:textId="77777777" w:rsidR="007A2019" w:rsidRPr="00E87003" w:rsidRDefault="007A2019" w:rsidP="00DA2694">
      <w:pPr>
        <w:pStyle w:val="3"/>
      </w:pPr>
      <w:bookmarkStart w:id="112" w:name="_Toc194558753"/>
      <w:r w:rsidRPr="00E87003">
        <w:t>Введение в России единой карты для пенсионеров повлечет за собой перекрестное финансирование между субъектами, для ряда регионов это может обернуться серьезными выпадающими доходами. Об этом заявил министр труда и социальной защиты РФ Антон Котяков.</w:t>
      </w:r>
      <w:bookmarkEnd w:id="112"/>
    </w:p>
    <w:p w14:paraId="1D32B5E7" w14:textId="77777777" w:rsidR="007A2019" w:rsidRPr="00E87003" w:rsidRDefault="007A2019" w:rsidP="007A2019">
      <w:r w:rsidRPr="00E87003">
        <w:t>«Чтобы реализовать эту идею, нам нужны существенные изменения на федеральном уровне. То есть правительство должно принять минимальный набор льгот и мер, которые мы должны будем гарантировать как единый стандарт на территории всей страны», – подчеркнул глава Минтруда.</w:t>
      </w:r>
    </w:p>
    <w:p w14:paraId="3D7915B1" w14:textId="77777777" w:rsidR="007A2019" w:rsidRPr="00E87003" w:rsidRDefault="007A2019" w:rsidP="007A2019">
      <w:r w:rsidRPr="00E87003">
        <w:t>25 марта депутат Госдумы Сергей Миронов предложил ввести в России единую социальную карту для пенсионеров и граждан предпенсионного возраста. Миронов тогда напомнил, что пенсионное законодательство в России едино, как и нормы социальных отчислений, а потому все пенсионеры должны иметь равные права независимо от места жительства.</w:t>
      </w:r>
    </w:p>
    <w:p w14:paraId="6941F8AC" w14:textId="77777777" w:rsidR="007A2019" w:rsidRPr="00E87003" w:rsidRDefault="007A2019" w:rsidP="007A2019">
      <w:r w:rsidRPr="00E87003">
        <w:t>Депутат выразил уверенность, что новая система устранит несправедливость, при которой льготы действуют только в пределах конкретного региона.</w:t>
      </w:r>
    </w:p>
    <w:p w14:paraId="22EDC25E" w14:textId="77777777" w:rsidR="007A2019" w:rsidRPr="00E87003" w:rsidRDefault="007A2019" w:rsidP="007A2019">
      <w:hyperlink r:id="rId38" w:history="1">
        <w:r w:rsidRPr="00E87003">
          <w:rPr>
            <w:rStyle w:val="a3"/>
          </w:rPr>
          <w:t>https://konkurent.ru/article/76129</w:t>
        </w:r>
      </w:hyperlink>
      <w:r w:rsidRPr="00E87003">
        <w:t xml:space="preserve"> </w:t>
      </w:r>
    </w:p>
    <w:p w14:paraId="1646487F" w14:textId="77777777" w:rsidR="007A2019" w:rsidRPr="00E87003" w:rsidRDefault="007A2019" w:rsidP="007A2019">
      <w:pPr>
        <w:pStyle w:val="2"/>
      </w:pPr>
      <w:bookmarkStart w:id="113" w:name="_Toc194558754"/>
      <w:r w:rsidRPr="00E87003">
        <w:t>PRIMPRESS, 02.04.2025, Пенсии пересчитают со дня их назначения. Пенсионеров ждет новый сюрприз</w:t>
      </w:r>
      <w:bookmarkEnd w:id="113"/>
    </w:p>
    <w:p w14:paraId="2157FA65" w14:textId="77777777" w:rsidR="007A2019" w:rsidRPr="00E87003" w:rsidRDefault="007A2019" w:rsidP="00DA2694">
      <w:pPr>
        <w:pStyle w:val="3"/>
      </w:pPr>
      <w:bookmarkStart w:id="114" w:name="_Toc194558755"/>
      <w:r w:rsidRPr="00E87003">
        <w:t>Пенсионерам рассказали о новом сюрпризе: пенсию им могут пересчитать со дня назначения выплаты, если будет подтвержден определенный стаж. Соответствующее приятное решение принял кассационный суд. Об этом рассказала юрист Ирина Сивакова, сообщает PRIMPRESS.</w:t>
      </w:r>
      <w:bookmarkEnd w:id="114"/>
    </w:p>
    <w:p w14:paraId="472DA864" w14:textId="77777777" w:rsidR="007A2019" w:rsidRPr="00E87003" w:rsidRDefault="007A2019" w:rsidP="007A2019">
      <w:r w:rsidRPr="00E87003">
        <w:t>По ее словам, прибавку к пенсии может теперь получить любой пенсионер. Для этого необходимо подтвердить трудовой стаж, который ранее не был посчитан в общем пенсионном при назначении пенсии. К примеру, приятный прецедент создан одной из россиянок, которая выиграла дело в суде. Женщине назначили досрочную пенсию из-за работы на вредном производстве.</w:t>
      </w:r>
    </w:p>
    <w:p w14:paraId="3DA1EAE8" w14:textId="77777777" w:rsidR="007A2019" w:rsidRPr="00E87003" w:rsidRDefault="007A2019" w:rsidP="007A2019">
      <w:r w:rsidRPr="00E87003">
        <w:t>Но когда гражданка внезапно решила проверить свое пенсионное дело, выяснилось, что несколько лет учебы в профучилище ей не засчитали. Это касается периода с 1974 по 1997 годы.</w:t>
      </w:r>
    </w:p>
    <w:p w14:paraId="07BD9350" w14:textId="77777777" w:rsidR="007A2019" w:rsidRPr="00E87003" w:rsidRDefault="007A2019" w:rsidP="007A2019">
      <w:r w:rsidRPr="00E87003">
        <w:t xml:space="preserve">Согласно действовавшим на тот момент правилам, учебу в училище действительно нужно было включать в общий стаж, особенно если человек устраивался по </w:t>
      </w:r>
      <w:r w:rsidRPr="00E87003">
        <w:lastRenderedPageBreak/>
        <w:t>специальности сразу же по окончании учебы. И все условия в данном случае были соблюдены. Поэтому суд принял решение в пользу пенсионерки.</w:t>
      </w:r>
    </w:p>
    <w:p w14:paraId="0EC90D0D" w14:textId="77777777" w:rsidR="007A2019" w:rsidRPr="00E87003" w:rsidRDefault="007A2019" w:rsidP="007A2019">
      <w:r w:rsidRPr="00E87003">
        <w:t>Было предписано зачесть ей новый стаж и сделать перерасчет пенсии со дня ее назначения. И такой же приятный сюрприз теперь могут себе устроить все остальные пенсионеры.</w:t>
      </w:r>
    </w:p>
    <w:p w14:paraId="52066CE9" w14:textId="77777777" w:rsidR="00F576E4" w:rsidRPr="00E87003" w:rsidRDefault="007A2019" w:rsidP="007A2019">
      <w:hyperlink r:id="rId39" w:history="1">
        <w:r w:rsidRPr="00E87003">
          <w:rPr>
            <w:rStyle w:val="a3"/>
          </w:rPr>
          <w:t>https://primpress.ru/article/121977</w:t>
        </w:r>
      </w:hyperlink>
    </w:p>
    <w:p w14:paraId="5B8D0188" w14:textId="77777777" w:rsidR="005F79C8" w:rsidRPr="00E87003" w:rsidRDefault="005F79C8" w:rsidP="005F79C8">
      <w:pPr>
        <w:pStyle w:val="2"/>
      </w:pPr>
      <w:bookmarkStart w:id="115" w:name="_Toc194558756"/>
      <w:r w:rsidRPr="00E87003">
        <w:t>Аргументы.ру, 02.04.2025, Доширак вместо аптеки: непростая реальность российских пенсионеров</w:t>
      </w:r>
      <w:bookmarkEnd w:id="115"/>
    </w:p>
    <w:p w14:paraId="4B80A4E8" w14:textId="77777777" w:rsidR="005F79C8" w:rsidRPr="00E87003" w:rsidRDefault="005F79C8" w:rsidP="00DA2694">
      <w:pPr>
        <w:pStyle w:val="3"/>
      </w:pPr>
      <w:bookmarkStart w:id="116" w:name="_Toc194558757"/>
      <w:r w:rsidRPr="00E87003">
        <w:t>Депутат Сергей Гаврилов, возглавляющий комитет Госдумы по вопросам собственности (фракция КПРФ), выступил с заявлением о необходимости пересмотра системы индексации пенсий. По его мнению, существующая система давно уже оторвана от реальной жизни пожилых людей.</w:t>
      </w:r>
      <w:bookmarkEnd w:id="116"/>
    </w:p>
    <w:p w14:paraId="214344B4" w14:textId="77777777" w:rsidR="005F79C8" w:rsidRPr="00E87003" w:rsidRDefault="005F79C8" w:rsidP="005F79C8">
      <w:r w:rsidRPr="00E87003">
        <w:t>«Ведь речь не идет о россиянине с ипотекой, айфоном и семейными поездками - речь идет о пожилом человеке, у которого бюджет состоит из лекарств, коммунальных платежей и простых продуктов. И если стоимость сахара, хлеба, проезда и препаратов от давления за год выросла на 22%, а пенсию подняли на 9% - то это не рост, а снижение», - подчеркнул парламентарий.</w:t>
      </w:r>
    </w:p>
    <w:p w14:paraId="2CAF80DD" w14:textId="77777777" w:rsidR="005F79C8" w:rsidRPr="00E87003" w:rsidRDefault="005F79C8" w:rsidP="005F79C8">
      <w:r w:rsidRPr="00E87003">
        <w:t>В социальных сетях эта тема вызвала бурное обсуждение. «Моя пенсия составляет 12 000 рублей. И таких, как я - миллионы. Как выживать на эти крохи?» - пишет одна из комментаторов, подчеркивая актуальность затронутой проблемы.</w:t>
      </w:r>
    </w:p>
    <w:p w14:paraId="63EF5F19" w14:textId="77777777" w:rsidR="005F79C8" w:rsidRPr="00E87003" w:rsidRDefault="005F79C8" w:rsidP="005F79C8">
      <w:r w:rsidRPr="00E87003">
        <w:t>Гаврилов, в свою очередь, акцентирует внимание коллег на том, что текущая потребительская корзина давно устарела и не отражает реальных потребностей нынешних пенсионеров. Он считает, что нужно пересмотреть методику формирования потребительской корзины, так как иногда в ней бывают неактуальные для пенсионеров позиции и отсутствуют очевидные траты (например, на мобильную связь и современные лекарства). Состав корзины нужно сделать приближенным к повседневным тратам определенной группы граждан.</w:t>
      </w:r>
    </w:p>
    <w:p w14:paraId="7120207D" w14:textId="77777777" w:rsidR="005F79C8" w:rsidRPr="00E87003" w:rsidRDefault="005F79C8" w:rsidP="005F79C8">
      <w:r w:rsidRPr="00E87003">
        <w:t>«Структура расходов пожилого человека заметно отличается: большая доля бюджета уходит на медикаменты, оплату ЖКХ и базовые продовольственные товары. Следовательно, и инфляция и потребительская корзина для пенсионера совсем иная», и существенно отличается от потребительской корзины работающего молодого человека - объясняет парламентарий.</w:t>
      </w:r>
    </w:p>
    <w:p w14:paraId="788B5684" w14:textId="77777777" w:rsidR="005F79C8" w:rsidRPr="00E87003" w:rsidRDefault="005F79C8" w:rsidP="005F79C8">
      <w:r w:rsidRPr="00E87003">
        <w:t>Однако некоторые пользователи онлайн-платформ восприняли инициативу скептически: «Если лекарства подорожали на 20%, а Доширак на 2%, наши чиновники считают, что нужно индексировать пенсию по цене Доширака. А не по стоимость лекарств. Как говорится: денег нет, но вы держитесь, дорогие пенсионеры. Никогда о российских пенсионерах ещё так «тепло» не заботились.“ Выражает своё недовольство один из комментаторов на просторах интернета.</w:t>
      </w:r>
    </w:p>
    <w:p w14:paraId="1482F094" w14:textId="77777777" w:rsidR="005F79C8" w:rsidRPr="00E87003" w:rsidRDefault="005F79C8" w:rsidP="005F79C8">
      <w:r w:rsidRPr="00E87003">
        <w:t>Особое возмущение в комментариях, у людей вызывает размер предполагаемой прибавки. «Для рабов пойдёт и прибавка 300 рублей, терпят же», - горько шутит один из пенсионеров.</w:t>
      </w:r>
    </w:p>
    <w:p w14:paraId="7E542385" w14:textId="77777777" w:rsidR="005F79C8" w:rsidRPr="00E87003" w:rsidRDefault="005F79C8" w:rsidP="005F79C8">
      <w:r w:rsidRPr="00E87003">
        <w:lastRenderedPageBreak/>
        <w:t>Гаврилов соглашается, что такие суммы - это издевательство: «Люди не почувствуют прибавку в размере, например, 300 руб. При этом индексация должна касаться не только страховых пенсий - по данным депутата, сейчас каждый пятый пенсионер в стране получает социальную пенсию, а ее размер ниже прожиточного минимума, из чего можно сделать вывод, что размер социальной пенсии тоже давно требует индексации.»</w:t>
      </w:r>
    </w:p>
    <w:p w14:paraId="7CE3A9A3" w14:textId="77777777" w:rsidR="005F79C8" w:rsidRPr="00E87003" w:rsidRDefault="005F79C8" w:rsidP="005F79C8">
      <w:r w:rsidRPr="00E87003">
        <w:t>По расчетам депутата, индексация по новой методике вполне реальна с экономической точки зрения. В этом году на индексацию страховых пенсий направили более 700 млрд рублей, а индексация по потребительской корзине обошлась бы в 100 млрд рублей.</w:t>
      </w:r>
    </w:p>
    <w:p w14:paraId="44EFCA06" w14:textId="77777777" w:rsidR="005F79C8" w:rsidRPr="00E87003" w:rsidRDefault="005F79C8" w:rsidP="005F79C8">
      <w:r w:rsidRPr="00E87003">
        <w:t>Однако сетевые комментаторы поспешили высказать своё недовольство по этому вопросу считая, что решение должно быть комплексным: «Господин Гаврилов, делать подобные заявления надо в с учётом оценки рынка труда и работоспособности банковской системы. Не позорьтесь популизмом. Желаю профессионального подхода,» - комментирует один из подписчиков.</w:t>
      </w:r>
    </w:p>
    <w:p w14:paraId="3E26331A" w14:textId="77777777" w:rsidR="005F79C8" w:rsidRPr="00E87003" w:rsidRDefault="005F79C8" w:rsidP="005F79C8">
      <w:r w:rsidRPr="00E87003">
        <w:t>Пользователи онлайн-платформ также предлагают свое видение решения проблемы: «Пенсию дайте достойную, а свою потребительскую корзину мы без вас соберём.»</w:t>
      </w:r>
    </w:p>
    <w:p w14:paraId="5A834E00" w14:textId="77777777" w:rsidR="005F79C8" w:rsidRPr="00E87003" w:rsidRDefault="005F79C8" w:rsidP="005F79C8">
      <w:r w:rsidRPr="00E87003">
        <w:t>Ну что ж, как говорится, остается только надеяться, что эта инициатива найдет поддержку среди других депутатов и чиновников. Ведь речь идет о достойной старости миллионов наших граждан - тех, кто всю жизнь трудился на благо страны, заслужив тем самым спокойную и хотя бы относительно обеспеченную старость, а не преодоление ежедневного квеста под названием «выживание пенсионеров в России».</w:t>
      </w:r>
    </w:p>
    <w:p w14:paraId="7A5442DE" w14:textId="77777777" w:rsidR="007A2019" w:rsidRPr="00E87003" w:rsidRDefault="005F79C8" w:rsidP="005F79C8">
      <w:hyperlink r:id="rId40" w:history="1">
        <w:r w:rsidRPr="00E87003">
          <w:rPr>
            <w:rStyle w:val="a3"/>
          </w:rPr>
          <w:t>https://argumenti.ru/society/2025/04/945030</w:t>
        </w:r>
      </w:hyperlink>
    </w:p>
    <w:p w14:paraId="0D963BEF" w14:textId="77777777" w:rsidR="00043772" w:rsidRPr="00043772" w:rsidRDefault="00043772" w:rsidP="00043772">
      <w:pPr>
        <w:pStyle w:val="2"/>
      </w:pPr>
      <w:bookmarkStart w:id="117" w:name="_Toc194558758"/>
      <w:r w:rsidRPr="00043772">
        <w:rPr>
          <w:rStyle w:val="DocumentSource"/>
          <w:i/>
          <w:sz w:val="28"/>
        </w:rPr>
        <w:t xml:space="preserve">Pravda.ru, 03.04.2025, </w:t>
      </w:r>
      <w:r w:rsidRPr="00043772">
        <w:rPr>
          <w:rStyle w:val="DocumentName"/>
          <w:rFonts w:eastAsia="Verdana"/>
          <w:b/>
          <w:caps w:val="0"/>
          <w:sz w:val="28"/>
        </w:rPr>
        <w:t>Четыре года судов за пенсию - почему пилотам так трудно её получить</w:t>
      </w:r>
      <w:bookmarkEnd w:id="117"/>
    </w:p>
    <w:p w14:paraId="5785E7E9" w14:textId="77777777" w:rsidR="00043772" w:rsidRDefault="00043772" w:rsidP="00043772">
      <w:pPr>
        <w:pStyle w:val="3"/>
      </w:pPr>
      <w:bookmarkStart w:id="118" w:name="_Toc194558759"/>
      <w:r>
        <w:t>Бывший пилот Юрий Яшин развеял миф о высоких пенсиях лётчиков, показав скрин выплат в своём Telegram-канале. Бывший сотрудник "Уральских авиалиний" и S7 Airlines вышел на досрочную пенсию весной этого года после 25 лет работы в авиации и 6300 часов налёта. Однако даже такой стаж не обеспечил ему достойных выплат.</w:t>
      </w:r>
      <w:bookmarkEnd w:id="118"/>
    </w:p>
    <w:p w14:paraId="471EB64D" w14:textId="77777777" w:rsidR="00043772" w:rsidRDefault="00043772" w:rsidP="00043772">
      <w:r>
        <w:t>"Вот на такую пенсию (17835 рублей) я могу рассчитывать. Стоит ли мне спрашивать, сколько раз я смогу сходить в магазин? И да, это не первоапрельская шутка", - написал Яшин.</w:t>
      </w:r>
    </w:p>
    <w:p w14:paraId="00448DF4" w14:textId="77777777" w:rsidR="00043772" w:rsidRDefault="00043772" w:rsidP="00043772">
      <w:r>
        <w:t>По его словам, процесс оформления пенсии занял четыре года и сопровождался двумя судебными разбирательствами. Как сообщает Царьград, причиной отказов называли недостаточный налёт, хотя для получения пенсии требуется минимум 6000 часов, а у Яшина их было 6300.</w:t>
      </w:r>
    </w:p>
    <w:p w14:paraId="61068548" w14:textId="77777777" w:rsidR="00043772" w:rsidRDefault="00043772" w:rsidP="00043772">
      <w:r>
        <w:t>"Естественно, можно продолжать работать (как делает большинство) и параллельно получать часть пенсии. В Москве это около 20 тысяч рублей, полная пенсия - порядка 40 тысяч", - объяснил он.</w:t>
      </w:r>
    </w:p>
    <w:p w14:paraId="52340B79" w14:textId="77777777" w:rsidR="00043772" w:rsidRDefault="00043772" w:rsidP="00043772">
      <w:r>
        <w:t>Уточнения</w:t>
      </w:r>
    </w:p>
    <w:p w14:paraId="31A913E6" w14:textId="77777777" w:rsidR="00111D7C" w:rsidRPr="00E87003" w:rsidRDefault="00043772" w:rsidP="00111D7C">
      <w:hyperlink r:id="rId41" w:history="1">
        <w:r>
          <w:rPr>
            <w:rStyle w:val="DocumentOriginalLink"/>
          </w:rPr>
          <w:t>https://www.pravda.ru/news/economics/2201391-pilot-pension-reality/</w:t>
        </w:r>
      </w:hyperlink>
      <w:bookmarkEnd w:id="57"/>
    </w:p>
    <w:p w14:paraId="3E6D2A75" w14:textId="77777777" w:rsidR="00111D7C" w:rsidRPr="00E87003" w:rsidRDefault="00111D7C" w:rsidP="00111D7C">
      <w:pPr>
        <w:pStyle w:val="251"/>
      </w:pPr>
      <w:bookmarkStart w:id="119" w:name="_Toc99271704"/>
      <w:bookmarkStart w:id="120" w:name="_Toc99318656"/>
      <w:bookmarkStart w:id="121" w:name="_Toc165991076"/>
      <w:bookmarkStart w:id="122" w:name="_Toc62681899"/>
      <w:bookmarkStart w:id="123" w:name="_Toc194558760"/>
      <w:bookmarkEnd w:id="24"/>
      <w:bookmarkEnd w:id="25"/>
      <w:bookmarkEnd w:id="26"/>
      <w:r w:rsidRPr="00E87003">
        <w:lastRenderedPageBreak/>
        <w:t>НОВОСТИ МАКРОЭКОНОМИКИ</w:t>
      </w:r>
      <w:bookmarkEnd w:id="119"/>
      <w:bookmarkEnd w:id="120"/>
      <w:bookmarkEnd w:id="121"/>
      <w:bookmarkEnd w:id="123"/>
    </w:p>
    <w:p w14:paraId="7D02A46A" w14:textId="77777777" w:rsidR="00E507FE" w:rsidRPr="00E87003" w:rsidRDefault="00E507FE" w:rsidP="00E507FE">
      <w:pPr>
        <w:pStyle w:val="2"/>
      </w:pPr>
      <w:bookmarkStart w:id="124" w:name="_Toc194558761"/>
      <w:r w:rsidRPr="00E87003">
        <w:t>Ведомости, 02.04.2025, Путин поручил кабмину и ЦБ создать единый подход к борьбе с кибермошенниками</w:t>
      </w:r>
      <w:bookmarkEnd w:id="124"/>
    </w:p>
    <w:p w14:paraId="696A7582" w14:textId="77777777" w:rsidR="00E507FE" w:rsidRPr="00E87003" w:rsidRDefault="00E507FE" w:rsidP="00DA2694">
      <w:pPr>
        <w:pStyle w:val="3"/>
      </w:pPr>
      <w:bookmarkStart w:id="125" w:name="_Toc194558762"/>
      <w:r w:rsidRPr="00E87003">
        <w:t>Президент России Владимир Путин поручил правительству и Банку России разработать единый системный подход к борьбе с мошенниками, использующим современные технологии. В частности, им нужно рассмотреть вопрос о дополнительном ограничении количества и периода действия платежных карт, которые банки выдают клиентам, в том числе иностранцам. Утвержденный главой государства перечень поручений по итогам совещания с членами правительства, прошедшего 5 марта, опубликован на сайте Кремля.</w:t>
      </w:r>
      <w:bookmarkEnd w:id="125"/>
    </w:p>
    <w:p w14:paraId="342AF7EF" w14:textId="77777777" w:rsidR="00E507FE" w:rsidRPr="00E87003" w:rsidRDefault="00E507FE" w:rsidP="00E507FE">
      <w:r w:rsidRPr="00E87003">
        <w:t>Кабмин и ЦБ должны также обеспечить внесение ряда других изменений в российское законодательство. Поправки касаются блокировки сомнительных телефонных звонков, в том числе с применением государственной антифрод-платформы, при согласии человека. Кроме того, в списке поручений упомянуто создание механизма оперативного оповещения банков операторами связи при обнаружении мошеннического телефонного вызова или смс - также с согласия граждан.</w:t>
      </w:r>
    </w:p>
    <w:p w14:paraId="6F766164" w14:textId="77777777" w:rsidR="00E507FE" w:rsidRPr="00E87003" w:rsidRDefault="00E507FE" w:rsidP="00E507FE">
      <w:r w:rsidRPr="00E87003">
        <w:t>Кроме того, кредитные организации могут обязать компенсировать клиентам средства, украденные после взлома приложений этих банков через вредоносное программное обеспечение на смартфонах клиентов. В перечне поручений прописано, что кредитные организации и операторы связи могут обязать возмещать средства, похищенные мошенниками со счетов граждан, если они не приняли мер противодействия. Условия, размер и порядок компенсации предстоит определить.</w:t>
      </w:r>
    </w:p>
    <w:p w14:paraId="2B8323CE" w14:textId="77777777" w:rsidR="00E507FE" w:rsidRPr="00E87003" w:rsidRDefault="00E507FE" w:rsidP="00E507FE">
      <w:r w:rsidRPr="00E87003">
        <w:t>В случае нарушения финорганизацией требований, касающихся защиты информации (если нарушение привело к неправомерному использованию персональных данных), противодействия переводам средств, заключению договоров потребкредита и денежных операций без согласия клиента, деловую репутацию профильного замруководителя компании могут признать неудовлетворительной, отмечено в перечне поручений.</w:t>
      </w:r>
    </w:p>
    <w:p w14:paraId="61014DA8" w14:textId="77777777" w:rsidR="00E507FE" w:rsidRPr="00E87003" w:rsidRDefault="00E507FE" w:rsidP="00E507FE">
      <w:r w:rsidRPr="00E87003">
        <w:t>Правительству и Центробанку также поручено оценить эффективность мероприятий по развитию цифровой грамотности населения и разработать комплекс мер по ее повышению. Для этого требуется рассмотреть вопросы мотивации россиян к повышению цифровой грамотности, включения в школьную программу учебного курса по финграмотности, обучения цифровой грамотности пенсионеров. Необходимо также обсудить вопрос проведения информационно­-просветительских кампаний «Цифровая грамотность в РФ».</w:t>
      </w:r>
    </w:p>
    <w:p w14:paraId="0A0D0C3D" w14:textId="77777777" w:rsidR="00E507FE" w:rsidRPr="00E87003" w:rsidRDefault="00E507FE" w:rsidP="00E507FE">
      <w:r w:rsidRPr="00E87003">
        <w:t xml:space="preserve">Рассмотрению подлежит и организация автоматизированного обмена данными между банками, операторами связи, правоохранителями и другими госорганами о фактах кибермошенничества. Кроме того, на повестке дня - вопрос об автоматическом получении банками информации об одновременном изменении двух и более </w:t>
      </w:r>
      <w:r w:rsidRPr="00E87003">
        <w:lastRenderedPageBreak/>
        <w:t>параметров идентификации в личных кабинетах граждан на сайте «Госуслуги», разработке механизма временного блокирования учетной записи.</w:t>
      </w:r>
    </w:p>
    <w:p w14:paraId="319B2A59" w14:textId="77777777" w:rsidR="00E507FE" w:rsidRPr="00E87003" w:rsidRDefault="00E507FE" w:rsidP="00E507FE">
      <w:r w:rsidRPr="00E87003">
        <w:t>Кабмину совместно с Госдумой при участии ЦБ и ФСБ РФ президент поручил обеспечить внесение в законодательство поправок, улучшающих эффективность мер по борьбе с кибермошенниками. Особое внимание при этом нужно обратить на введение запрета сотрудникам госорганов, банков и операторов связи на использование зарубежных мессенджеров при контактах с гражданами. Речь также о необходимости обязать операторов информировать абонентов о звонках от юрлиц и предоставлении людям возможности устанавливать самозапрет на заключение договоров «об оказании услуг подвижной радиотелефонной связи» на сайте госуслуг.</w:t>
      </w:r>
    </w:p>
    <w:p w14:paraId="28B455ED" w14:textId="77777777" w:rsidR="00E507FE" w:rsidRPr="00E87003" w:rsidRDefault="00E507FE" w:rsidP="00E507FE">
      <w:r w:rsidRPr="00E87003">
        <w:t>Кроме того, правительству совместно с Верховным судом, МВД, Следственным комитетом и ФСБ также нужно рассмотреть вопрос о целесообразности признания отягчающим обстоятельством применение технологий искусственного интеллекта при правонарушении.</w:t>
      </w:r>
    </w:p>
    <w:p w14:paraId="2951246A" w14:textId="77777777" w:rsidR="00E507FE" w:rsidRPr="00E87003" w:rsidRDefault="00E507FE" w:rsidP="00E507FE">
      <w:r w:rsidRPr="00E87003">
        <w:t>25 марта Госдума приняла закон о противодействии телефонному и интернет-мошенничеству. Согласно документу, граждане смогут установить самозапрет на дистанционное оформление сим-карт через «Госуслуги». Также самозапрет можно установить через операторов на международные звонки, спам-обзвоны и смс-рассылки.</w:t>
      </w:r>
    </w:p>
    <w:p w14:paraId="28EEBCA4" w14:textId="77777777" w:rsidR="00E507FE" w:rsidRPr="00E87003" w:rsidRDefault="00E507FE" w:rsidP="00E507FE">
      <w:hyperlink r:id="rId42" w:history="1">
        <w:r w:rsidRPr="00E87003">
          <w:rPr>
            <w:rStyle w:val="a3"/>
          </w:rPr>
          <w:t>https://www.vedomosti.ru/politics/articles/2025/04/02/1101879-putin-poruchil-kabminu</w:t>
        </w:r>
      </w:hyperlink>
      <w:r w:rsidRPr="00E87003">
        <w:t xml:space="preserve"> </w:t>
      </w:r>
    </w:p>
    <w:p w14:paraId="69C7BA04" w14:textId="77777777" w:rsidR="000C0BE3" w:rsidRPr="00E87003" w:rsidRDefault="000C0BE3" w:rsidP="000C0BE3">
      <w:pPr>
        <w:pStyle w:val="2"/>
      </w:pPr>
      <w:bookmarkStart w:id="126" w:name="_Hlk194558475"/>
      <w:bookmarkStart w:id="127" w:name="_Toc194558763"/>
      <w:r w:rsidRPr="00E87003">
        <w:t>РИА Новости, 02.04.2025, Путин поручил кабмину и ЦБ оценить эффективность мероприятий по цифровой грамотности</w:t>
      </w:r>
      <w:bookmarkEnd w:id="127"/>
    </w:p>
    <w:p w14:paraId="2E380E82" w14:textId="77777777" w:rsidR="000C0BE3" w:rsidRPr="00E87003" w:rsidRDefault="000C0BE3" w:rsidP="00DA2694">
      <w:pPr>
        <w:pStyle w:val="3"/>
      </w:pPr>
      <w:bookmarkStart w:id="128" w:name="_Toc194558764"/>
      <w:r w:rsidRPr="00E87003">
        <w:t>Президент России Владимир Путин поручил правительству и Банку России оценить эффективность проводимых в стране мероприятий по цифровой грамотности населения и предложить меры по ее повышению, в том числе среди школьников и пенсионеров.</w:t>
      </w:r>
      <w:bookmarkEnd w:id="128"/>
    </w:p>
    <w:p w14:paraId="37917003" w14:textId="77777777" w:rsidR="000C0BE3" w:rsidRPr="00E87003" w:rsidRDefault="000C0BE3" w:rsidP="000C0BE3">
      <w:r w:rsidRPr="00E87003">
        <w:t>Перечень поручений по итогам совещания с членами правительства, которое состоялось 5 марта, опубликован на сайте Кремля.</w:t>
      </w:r>
    </w:p>
    <w:p w14:paraId="6182F44F" w14:textId="77777777" w:rsidR="000C0BE3" w:rsidRPr="00E87003" w:rsidRDefault="000C0BE3" w:rsidP="000C0BE3">
      <w:r w:rsidRPr="00E87003">
        <w:t>"Правительству Российской Федерации совместно с Банком России с учетом ранее данных поручений: провести оценку эффективности осуществляемых мероприятий по развитию цифровой грамотности населения и разработать комплекс мер по ее повышению и популяризации цифровых навыков", - указано в документе.</w:t>
      </w:r>
    </w:p>
    <w:p w14:paraId="77E37701" w14:textId="77777777" w:rsidR="000C0BE3" w:rsidRPr="00E87003" w:rsidRDefault="000C0BE3" w:rsidP="000C0BE3">
      <w:r w:rsidRPr="00E87003">
        <w:t>В связи с этим Путин поручил рассмотреть вопрос о включении в общеобразовательные программы учебного курса по финансовой грамотности, предусматривающего формирование навыков противодействия вовлечению в совершение неправомерных финансовых операций и другую мошенническую деятельность, в том числе вовлечению в дропперство.</w:t>
      </w:r>
    </w:p>
    <w:p w14:paraId="6C594850" w14:textId="77777777" w:rsidR="000C0BE3" w:rsidRPr="00E87003" w:rsidRDefault="000C0BE3" w:rsidP="000C0BE3">
      <w:r w:rsidRPr="00E87003">
        <w:t>В части повышения цифровой грамотности пенсионеров предлагается рассмотреть вопрос их обучения через социальную рекламу в рамках программ активного долголетия и других, а также при проведении культурных мероприятий.</w:t>
      </w:r>
    </w:p>
    <w:p w14:paraId="38381515" w14:textId="77777777" w:rsidR="000C0BE3" w:rsidRPr="00E87003" w:rsidRDefault="000C0BE3" w:rsidP="000C0BE3">
      <w:r w:rsidRPr="00E87003">
        <w:lastRenderedPageBreak/>
        <w:t>Путин также поручил рассмотреть возможность запуска механизмов материальной и нематериальной мотивации граждан к повышению своей цифровой грамотности, в том числе с применением метода геймификации и путем реализации бонусных программ коммерческими и государственными организациями.</w:t>
      </w:r>
    </w:p>
    <w:p w14:paraId="5A8D8F62" w14:textId="77777777" w:rsidR="000C0BE3" w:rsidRPr="00E87003" w:rsidRDefault="000C0BE3" w:rsidP="000C0BE3">
      <w:r w:rsidRPr="00E87003">
        <w:t>Кроме того, дано поручение рассмотреть возможность проведения информационно-­просветительских кампаний "Цифровая грамотность в Российской Федерации", направленных на повышение осведомленности граждан об угрозах в цифровом пространстве и методах защиты от них.</w:t>
      </w:r>
    </w:p>
    <w:p w14:paraId="03C28AC2" w14:textId="77777777" w:rsidR="000C0BE3" w:rsidRPr="00E87003" w:rsidRDefault="000C0BE3" w:rsidP="000C0BE3">
      <w:r w:rsidRPr="00E87003">
        <w:t>Первый доклад по реализации данных поручений запланирован на 1 июня текущего года, далее - один раз в полгода.</w:t>
      </w:r>
    </w:p>
    <w:p w14:paraId="5951D405" w14:textId="77777777" w:rsidR="000C0BE3" w:rsidRPr="00E87003" w:rsidRDefault="000C0BE3" w:rsidP="000C0BE3">
      <w:pPr>
        <w:pStyle w:val="2"/>
      </w:pPr>
      <w:bookmarkStart w:id="129" w:name="_Hlk194558496"/>
      <w:bookmarkStart w:id="130" w:name="_Toc194558765"/>
      <w:bookmarkEnd w:id="126"/>
      <w:r w:rsidRPr="00E87003">
        <w:t>РИА Новости, 02.04.2025, Объем ФНБ за март снизился на 129,88 млрд руб, до 11,751 трлн руб - Минфин РФ</w:t>
      </w:r>
      <w:bookmarkEnd w:id="130"/>
    </w:p>
    <w:p w14:paraId="333FAFB7" w14:textId="77777777" w:rsidR="000C0BE3" w:rsidRPr="00E87003" w:rsidRDefault="000C0BE3" w:rsidP="00DA2694">
      <w:pPr>
        <w:pStyle w:val="3"/>
      </w:pPr>
      <w:bookmarkStart w:id="131" w:name="_Toc194558766"/>
      <w:r w:rsidRPr="00E87003">
        <w:t>Объем Фонда национального благосостояния (ФНБ) за март снизился на 129,88 миллиарда рублей, до 11,751 триллиона рублей, а в долларах вырос на 4,949 миллиарда, до 140,422 миллиарда долларов, следует из материалов на сайте Минфина России.</w:t>
      </w:r>
      <w:bookmarkEnd w:id="131"/>
    </w:p>
    <w:p w14:paraId="2D44C889" w14:textId="77777777" w:rsidR="000C0BE3" w:rsidRPr="00E87003" w:rsidRDefault="000C0BE3" w:rsidP="000C0BE3">
      <w:r w:rsidRPr="00E87003">
        <w:t>"По состоянию на 1 апреля 2025 года объем ФНБ составил 11 750 725,5 млн рублей или 5,5% ВВП, прогнозируемого на 2025 год..., что эквивалентно 140 422,4 млн долларов США", - говорится в сообщении.</w:t>
      </w:r>
    </w:p>
    <w:p w14:paraId="42CE0D6E" w14:textId="77777777" w:rsidR="000C0BE3" w:rsidRPr="00E87003" w:rsidRDefault="000C0BE3" w:rsidP="000C0BE3">
      <w:r w:rsidRPr="00E87003">
        <w:t>По состоянию на 1 апреля 2025 года объем ликвидных активов фонда (средства на банковских счетах в Банке России) составил эквивалент 3,27 триллиона рублей, или 39,064 миллиарда долларов США (1,5% ВВП, прогнозируемого на 2025 год).</w:t>
      </w:r>
    </w:p>
    <w:p w14:paraId="75E610BF" w14:textId="77777777" w:rsidR="000C0BE3" w:rsidRPr="00E87003" w:rsidRDefault="000C0BE3" w:rsidP="000C0BE3">
      <w:r w:rsidRPr="00E87003">
        <w:t>В том числе на отдельных счетах по учету средств ФНБ в Банке России размещено 164,387 миллиарда китайских юаней, 168,27 тонн золота в обезличенной форме и 1,671 миллиарда рублей.</w:t>
      </w:r>
    </w:p>
    <w:p w14:paraId="161D5CC9" w14:textId="77777777" w:rsidR="000C0BE3" w:rsidRPr="00E87003" w:rsidRDefault="000C0BE3" w:rsidP="000C0BE3">
      <w:r w:rsidRPr="00E87003">
        <w:t>На депозитах и субординированных депозитах в ВЭБе размещено 1,056 триллиона рублей, в долговых обязательствах иностранных государств - 3 миллиарда долларов, еще часть средств - в бумагах российских компаний и 38,433 миллиарда рублей на субординированном депозите в Газпромбанке в целях финансирования самоокупаемых инфраструктурных проектов, перечень которых утверждается правительством РФ.</w:t>
      </w:r>
    </w:p>
    <w:p w14:paraId="7F7D45FC" w14:textId="77777777" w:rsidR="000C0BE3" w:rsidRPr="00E87003" w:rsidRDefault="000C0BE3" w:rsidP="000C0BE3">
      <w:r w:rsidRPr="00E87003">
        <w:t>"Совокупная расчетная сумма дохода от размещения средств ФНБ на счетах в иностранной валюте в Банке России, пересчитанного в долларах США, за период с 15 декабря 2024 г. по 31 марта 2025 г. составила 22,9 млн долларов США, что эквивалентно 1 918,6 млн рублей", - отметили в Минфине.</w:t>
      </w:r>
    </w:p>
    <w:p w14:paraId="03F2D2E1" w14:textId="77777777" w:rsidR="000C0BE3" w:rsidRDefault="000C0BE3" w:rsidP="000C0BE3">
      <w:r w:rsidRPr="00E87003">
        <w:t>"Совокупный доход от размещения средств Фонда в разрешенные финансовые активы, за исключением средств на счетах в Банке России, в 2025 году составил 13 925,5 млн рублей, что эквивалентно 144,7 млн долл. США", - говорится в сообщении.</w:t>
      </w:r>
    </w:p>
    <w:p w14:paraId="1590BECF" w14:textId="77777777" w:rsidR="00BD3630" w:rsidRDefault="00BD3630" w:rsidP="00BD3630">
      <w:pPr>
        <w:pStyle w:val="2"/>
      </w:pPr>
      <w:bookmarkStart w:id="132" w:name="_Toc194558767"/>
      <w:bookmarkEnd w:id="129"/>
      <w:r>
        <w:lastRenderedPageBreak/>
        <w:t>РИА Новости, 02.04.2025, Инфляция в России на 31 марта составила 10,24% в годовом выражении - Минэкономразвития</w:t>
      </w:r>
      <w:bookmarkEnd w:id="132"/>
    </w:p>
    <w:p w14:paraId="6CF4C019" w14:textId="77777777" w:rsidR="00BD3630" w:rsidRDefault="00BD3630" w:rsidP="00DA2694">
      <w:pPr>
        <w:pStyle w:val="3"/>
      </w:pPr>
      <w:bookmarkStart w:id="133" w:name="_Toc194558768"/>
      <w:r>
        <w:t>Инфляция в России на 31 марта составила 10,24% в годовом выражении после 10,11% неделей ранее, следует из доклада Минэкономразвития "О текущей ценовой ситуации".</w:t>
      </w:r>
      <w:bookmarkEnd w:id="133"/>
    </w:p>
    <w:p w14:paraId="047A6211" w14:textId="77777777" w:rsidR="00BD3630" w:rsidRDefault="00BD3630" w:rsidP="00BD3630">
      <w:r>
        <w:t>Как отмечает министерство, в секторе продовольственных товаров за период с 25 по 31 марта рост цен ускорился и в среднем составил 0,28% (неделей ранее - 0,22%). Цены на плодоовощную продукцию выросли на 1,3%; на продукты питания за исключением плодоовощной продукции - на 0,2%, как и неделей ранее.</w:t>
      </w:r>
    </w:p>
    <w:p w14:paraId="6610D7B4" w14:textId="77777777" w:rsidR="00BD3630" w:rsidRDefault="00BD3630" w:rsidP="00BD3630">
      <w:r>
        <w:t>В сегменте непродовольственных товаров цены за отчетную неделю выросли на 0,05%. "Сохранилось удешевление электро- и бытовых приборов (-0,3% неделя к неделе). Цены на легковые автомобили не изменились. Снизились темпы роста цен на медикаменты (до 0,3% неделя к неделе). На бензин сохраняется умеренный рост цен (0,1% неделя к неделе), на дизельное топливо цены не изменились", - пишут авторы обзора.</w:t>
      </w:r>
    </w:p>
    <w:p w14:paraId="2F2FF0B4" w14:textId="77777777" w:rsidR="00BD3630" w:rsidRPr="00E87003" w:rsidRDefault="00BD3630" w:rsidP="00BD3630">
      <w:r>
        <w:t>Что касается услуг (туристических, регулируемых и бытовых), за неделю они подорожали на 0,14%.</w:t>
      </w:r>
    </w:p>
    <w:p w14:paraId="5D31FAD6" w14:textId="77777777" w:rsidR="000C0BE3" w:rsidRPr="00E87003" w:rsidRDefault="000C0BE3" w:rsidP="000C0BE3">
      <w:pPr>
        <w:pStyle w:val="2"/>
      </w:pPr>
      <w:bookmarkStart w:id="134" w:name="_Hlk194558523"/>
      <w:bookmarkStart w:id="135" w:name="_Toc194558769"/>
      <w:r w:rsidRPr="00E87003">
        <w:t>РИА Новости, 02.04.2025, Инфраструктура финансового рынка в РФ готова для выхода госкомпаний на биржу - зампред ЦБ</w:t>
      </w:r>
      <w:bookmarkEnd w:id="135"/>
    </w:p>
    <w:p w14:paraId="6170CE97" w14:textId="77777777" w:rsidR="000C0BE3" w:rsidRPr="00E87003" w:rsidRDefault="000C0BE3" w:rsidP="00DA2694">
      <w:pPr>
        <w:pStyle w:val="3"/>
      </w:pPr>
      <w:bookmarkStart w:id="136" w:name="_Toc194558770"/>
      <w:r w:rsidRPr="00E87003">
        <w:t>Инфраструктура финансового рынка в России готова для выхода на биржу государственных компаний, заявил заместитель председателя Банка России Филипп Габуния в Госдуме.</w:t>
      </w:r>
      <w:bookmarkEnd w:id="136"/>
    </w:p>
    <w:p w14:paraId="3FB25172" w14:textId="77777777" w:rsidR="000C0BE3" w:rsidRPr="00E87003" w:rsidRDefault="000C0BE3" w:rsidP="000C0BE3">
      <w:r w:rsidRPr="00E87003">
        <w:t>"Мы полагаем, что инфраструктура вся сегодня есть для того, чтобы принимать подобные предложения, но, конечно, здесь решение за собственником, за правительством. Мы всегда публично "озвучивали", что мы считаем, что это было бы правильным решением", - ответил он на соответствующий вопрос.</w:t>
      </w:r>
    </w:p>
    <w:p w14:paraId="36EB4D0B" w14:textId="77777777" w:rsidR="000C0BE3" w:rsidRPr="00E87003" w:rsidRDefault="000C0BE3" w:rsidP="000C0BE3">
      <w:r w:rsidRPr="00E87003">
        <w:t>В марте министр финансов Антон Силуанов рассказал, что в рамках проекта развития финансового рынка предусматривается рост объемов публичных размещений акций госкомпаний до 1 триллиона рублей как за счет выхода на IPO (первичного публичного размещения акций), так и путем размещения на бирже акций компаний, которые находятся в собственности государства.</w:t>
      </w:r>
    </w:p>
    <w:p w14:paraId="7BF77589" w14:textId="77777777" w:rsidR="000C0BE3" w:rsidRPr="00E87003" w:rsidRDefault="000C0BE3" w:rsidP="000C0BE3">
      <w:r w:rsidRPr="00E87003">
        <w:t>А ранее в среду заместитель министра финансов РФ Иван Чебесков заявил, что Минфин ожидает в текущем году 10-12 первичных и вторичных размещений акций на рынке в России.</w:t>
      </w:r>
    </w:p>
    <w:p w14:paraId="5F65011A" w14:textId="77777777" w:rsidR="000C0BE3" w:rsidRPr="00E87003" w:rsidRDefault="000C0BE3" w:rsidP="000C0BE3">
      <w:pPr>
        <w:pStyle w:val="2"/>
      </w:pPr>
      <w:bookmarkStart w:id="137" w:name="_Toc194558771"/>
      <w:bookmarkEnd w:id="134"/>
      <w:r w:rsidRPr="00E87003">
        <w:lastRenderedPageBreak/>
        <w:t>РИА Новости, 02.04.2025, Динамика I квартала говорит, что инфляция в РФ складывается ниже февральского прогноза ЦБ</w:t>
      </w:r>
      <w:bookmarkEnd w:id="137"/>
    </w:p>
    <w:p w14:paraId="40E837DC" w14:textId="77777777" w:rsidR="000C0BE3" w:rsidRPr="00E87003" w:rsidRDefault="000C0BE3" w:rsidP="00DA2694">
      <w:pPr>
        <w:pStyle w:val="3"/>
      </w:pPr>
      <w:bookmarkStart w:id="138" w:name="_Toc194558772"/>
      <w:r w:rsidRPr="00E87003">
        <w:t>Исходя из динамики первого квартала можно говорить, что инфляция в РФ, по предварительным данным, складывается лучше февральского прогноза Банка России, сообщил зампред регулятора Алексей Заботкин.</w:t>
      </w:r>
      <w:bookmarkEnd w:id="138"/>
    </w:p>
    <w:p w14:paraId="27B3BE9A" w14:textId="77777777" w:rsidR="000C0BE3" w:rsidRPr="00E87003" w:rsidRDefault="000C0BE3" w:rsidP="000C0BE3">
      <w:r w:rsidRPr="00E87003">
        <w:t>"Исходя из той динамики, которую мы видим в течение первого квартала, то есть за январь-февраль у нас есть уже полные данные месячные, за март пока недельные. Если по марту картина будет такая же, как показывают недельные данные, то можно говорить о том, что в целом по первому кварталу инфляция складывается даже несколько ниже того прогноза, который Банк России опубликовал 14 февраля после предыдущего опорного заседания", - сказал Заботкин на заседании в Госдуме.</w:t>
      </w:r>
    </w:p>
    <w:p w14:paraId="35A3DEF5" w14:textId="77777777" w:rsidR="000C0BE3" w:rsidRPr="00E87003" w:rsidRDefault="000C0BE3" w:rsidP="000C0BE3">
      <w:r w:rsidRPr="00E87003">
        <w:t>"То есть замедление темпов роста цен уже происходит по сравнению с теми темпами, которые были в четвертом квартале и требуется поддержание жесткости денежной политики для того, чтобы вернуть инфляцию на низкий уровень, что очень важно и для граждан, и для бизнеса", - добавил он.</w:t>
      </w:r>
    </w:p>
    <w:p w14:paraId="6AAD1BA4" w14:textId="77777777" w:rsidR="000C0BE3" w:rsidRPr="00E87003" w:rsidRDefault="000C0BE3" w:rsidP="000C0BE3">
      <w:pPr>
        <w:pStyle w:val="2"/>
      </w:pPr>
      <w:bookmarkStart w:id="139" w:name="_Toc194558773"/>
      <w:r w:rsidRPr="00E87003">
        <w:t>РИА Новости, 02.04.2025, ЦБ РФ не исключает повышения ставки, если инфляция будет снижаться медленнее прогноза</w:t>
      </w:r>
      <w:bookmarkEnd w:id="139"/>
    </w:p>
    <w:p w14:paraId="0E0A5D17" w14:textId="77777777" w:rsidR="000C0BE3" w:rsidRPr="00E87003" w:rsidRDefault="000C0BE3" w:rsidP="00DA2694">
      <w:pPr>
        <w:pStyle w:val="3"/>
      </w:pPr>
      <w:bookmarkStart w:id="140" w:name="_Toc194558774"/>
      <w:r w:rsidRPr="00E87003">
        <w:t>Банк России не исключает дальнейшего повышения ключевой ставки, если траектория снижения инфляции будет выше прогнозной, заявил журналистам зампред ЦБ Алексей Заботкин.</w:t>
      </w:r>
      <w:bookmarkEnd w:id="140"/>
    </w:p>
    <w:p w14:paraId="3EA1EE28" w14:textId="77777777" w:rsidR="000C0BE3" w:rsidRPr="00E87003" w:rsidRDefault="000C0BE3" w:rsidP="000C0BE3">
      <w:r w:rsidRPr="00E87003">
        <w:t>"На ближайшем заседании мы будем рассматривать все поступившие данные и оценивать целесообразность дальнейших действий. Мы не исключаем того, что может потребоваться дополнительное повышение ставки, если не на следующем заседании, то в дальнейшем, если замедление инфляции будет происходить не теми темпами, которые предполагает наш прогноз - 7-8% на этот год и 4% в следующем", - сказал он.</w:t>
      </w:r>
    </w:p>
    <w:p w14:paraId="653A5436" w14:textId="77777777" w:rsidR="000C0BE3" w:rsidRPr="00E87003" w:rsidRDefault="000C0BE3" w:rsidP="000C0BE3">
      <w:r w:rsidRPr="00E87003">
        <w:t>Также Заботкин отметил, что в целом требуемая жесткость денежно-кредитной политики, вероятно, достигнута.</w:t>
      </w:r>
    </w:p>
    <w:p w14:paraId="09BD9A1A" w14:textId="77777777" w:rsidR="000C0BE3" w:rsidRPr="00E87003" w:rsidRDefault="000C0BE3" w:rsidP="000C0BE3">
      <w:r w:rsidRPr="00E87003">
        <w:t>ЦБ РФ 21 марта сохранил ключевую ставку на уровне 21% годовых, изменив "сигнал": теперь регулятор рассмотрит вопрос о повышении ставки, если динамика снижения инфляции не будет обеспечивать достижение её целевого показателя (4% в год). Хотя в базовом прогнозном сценарии регулятор ожидает, что в ближайшие месяцы инфляционное давление продолжит снижаться.</w:t>
      </w:r>
    </w:p>
    <w:p w14:paraId="49CD7BEF" w14:textId="77777777" w:rsidR="000C0BE3" w:rsidRPr="00E87003" w:rsidRDefault="000C0BE3" w:rsidP="000C0BE3">
      <w:r w:rsidRPr="00E87003">
        <w:t>Следующее заседание совета директоров ЦБ, на котором будет рассматриваться вопрос об уровне ключевой ставки, запланировано на 25 апреля.</w:t>
      </w:r>
    </w:p>
    <w:p w14:paraId="6B186B45" w14:textId="77777777" w:rsidR="000C0BE3" w:rsidRPr="00E87003" w:rsidRDefault="000C0BE3" w:rsidP="000C0BE3">
      <w:pPr>
        <w:pStyle w:val="2"/>
      </w:pPr>
      <w:bookmarkStart w:id="141" w:name="_Toc194558775"/>
      <w:r w:rsidRPr="00E87003">
        <w:lastRenderedPageBreak/>
        <w:t>РИА Новости, 02.04.2025, ЦБ при любой ситуации должен добиваться возвращения инфляции к цели в 2026 г - регулятор</w:t>
      </w:r>
      <w:bookmarkEnd w:id="141"/>
    </w:p>
    <w:p w14:paraId="22D8220A" w14:textId="77777777" w:rsidR="000C0BE3" w:rsidRPr="00E87003" w:rsidRDefault="000C0BE3" w:rsidP="00DA2694">
      <w:pPr>
        <w:pStyle w:val="3"/>
      </w:pPr>
      <w:bookmarkStart w:id="142" w:name="_Toc194558776"/>
      <w:r w:rsidRPr="00E87003">
        <w:t>Банк России должен добиваться возвращения инфляции к цели в 2026 году при любом развитии ситуации в экономике, говорится в резюме обсуждения ключевой ставки ЦБ.</w:t>
      </w:r>
      <w:bookmarkEnd w:id="142"/>
    </w:p>
    <w:p w14:paraId="589EA9BB" w14:textId="77777777" w:rsidR="000C0BE3" w:rsidRPr="00E87003" w:rsidRDefault="000C0BE3" w:rsidP="000C0BE3">
      <w:r w:rsidRPr="00E87003">
        <w:t>"Все участники (обсуждения ключевой ставки ЦБ 21 марта - ред.) согласились, что Банк России должен действовать так, чтобы инфляция вернулась к цели в 2026 году при любом развитии ситуации", - сказано в документе.</w:t>
      </w:r>
    </w:p>
    <w:p w14:paraId="59E24B71" w14:textId="77777777" w:rsidR="000C0BE3" w:rsidRPr="00E87003" w:rsidRDefault="000C0BE3" w:rsidP="000C0BE3">
      <w:r w:rsidRPr="00E87003">
        <w:t>ЦБ РФ 21 марта сохранил ключевую ставку на уровне 21% годовых, изменив "сигнал": теперь регулятор рассмотрит вопрос о повышении ставки, если динамика снижения инфляции не будет обеспечивать достижение ее целевого показателя (4% в год). Хотя в базовом прогнозном сценарии регулятор ожидает, что в ближайшие месяцы инфляционное давление продолжит снижаться.</w:t>
      </w:r>
    </w:p>
    <w:p w14:paraId="59750617" w14:textId="77777777" w:rsidR="000C0BE3" w:rsidRPr="00E87003" w:rsidRDefault="000C0BE3" w:rsidP="000C0BE3">
      <w:r w:rsidRPr="00E87003">
        <w:t>"При принятии решений по денежно-кредитной политике Банк России опирается на устойчивые тенденции в экономике, факторы длительного действия и придерживается консервативного подхода при оценке баланса инфляционных рисков на прогнозном горизонте. Поскольку проинфляционные риски от преждевременного смягчения денежно-кредитной политики высоки, Банк России при выборе траектории ключевой ставки должен исходить из наиболее консервативного сценария, в том числе по внешним условиям", - говорится в документе.</w:t>
      </w:r>
    </w:p>
    <w:p w14:paraId="79778A9A" w14:textId="77777777" w:rsidR="000C0BE3" w:rsidRPr="00E87003" w:rsidRDefault="000C0BE3" w:rsidP="000C0BE3">
      <w:r w:rsidRPr="00E87003">
        <w:t>"Февральский базовый сценарий Банка России остается актуальным и предполагает продолжительный период поддержания жестких денежно-кредитных условий для достижения цели по инфляции", - подчеркивают авторы.</w:t>
      </w:r>
    </w:p>
    <w:p w14:paraId="7A0D2583" w14:textId="77777777" w:rsidR="000C0BE3" w:rsidRPr="00E87003" w:rsidRDefault="000C0BE3" w:rsidP="000C0BE3">
      <w:pPr>
        <w:pStyle w:val="2"/>
      </w:pPr>
      <w:bookmarkStart w:id="143" w:name="_Toc194558777"/>
      <w:r w:rsidRPr="00E87003">
        <w:t>РИА Новости, 02.04.2025, Говорить об устойчивом уменьшении перегрева экономики РФ пока рано - ЦБ</w:t>
      </w:r>
      <w:bookmarkEnd w:id="143"/>
    </w:p>
    <w:p w14:paraId="6564FE43" w14:textId="77777777" w:rsidR="000C0BE3" w:rsidRPr="00E87003" w:rsidRDefault="000C0BE3" w:rsidP="00DA2694">
      <w:pPr>
        <w:pStyle w:val="3"/>
      </w:pPr>
      <w:bookmarkStart w:id="144" w:name="_Toc194558778"/>
      <w:r w:rsidRPr="00E87003">
        <w:t>Говорить об устойчивом уменьшении перегрева российской экономики пока преждевременно, отмечается в резюме обсуждения ключевой ставки ЦБ РФ.</w:t>
      </w:r>
      <w:bookmarkEnd w:id="144"/>
    </w:p>
    <w:p w14:paraId="6E7B2AED" w14:textId="77777777" w:rsidR="000C0BE3" w:rsidRPr="00E87003" w:rsidRDefault="000C0BE3" w:rsidP="000C0BE3">
      <w:r w:rsidRPr="00E87003">
        <w:t>В документе говорится, что участники обсуждения пришли к выводу, что в первом квартале 2025 года, вероятно, началось сокращение положительного разрыва выпуска в экономике (перегрева экономики): снижается текущее инфляционное давление, замедляется рост внутреннего спроса, есть признаки ослабления напряженности на рынке труда.</w:t>
      </w:r>
    </w:p>
    <w:p w14:paraId="062AB718" w14:textId="77777777" w:rsidR="000C0BE3" w:rsidRPr="00E87003" w:rsidRDefault="000C0BE3" w:rsidP="000C0BE3">
      <w:r w:rsidRPr="00E87003">
        <w:t>"Однако пока преждевременно говорить об устойчивом уменьшении перегрева экономики и о том, что скорость его снижения достаточна для возвращения инфляции к цели в 2026 году. Положительный разрыв выпуска в экономике остается значительным", - говорится в документе.</w:t>
      </w:r>
    </w:p>
    <w:p w14:paraId="2FBEC3E6" w14:textId="77777777" w:rsidR="005F79C8" w:rsidRPr="00E87003" w:rsidRDefault="005F79C8" w:rsidP="005F79C8">
      <w:pPr>
        <w:pStyle w:val="2"/>
      </w:pPr>
      <w:bookmarkStart w:id="145" w:name="_Toc99271711"/>
      <w:bookmarkStart w:id="146" w:name="_Toc99318657"/>
      <w:bookmarkStart w:id="147" w:name="_Hlk194558563"/>
      <w:bookmarkStart w:id="148" w:name="_Toc194558779"/>
      <w:r w:rsidRPr="00E87003">
        <w:lastRenderedPageBreak/>
        <w:t>ТАСС, 02.04.2025, Ольга Мямлина: для развития рынка ЦФА необходимо развивать налоговое регулирование</w:t>
      </w:r>
      <w:bookmarkEnd w:id="148"/>
    </w:p>
    <w:p w14:paraId="446E2087" w14:textId="77777777" w:rsidR="005F79C8" w:rsidRPr="00E87003" w:rsidRDefault="005F79C8" w:rsidP="00DA2694">
      <w:pPr>
        <w:pStyle w:val="3"/>
      </w:pPr>
      <w:bookmarkStart w:id="149" w:name="_Toc194558780"/>
      <w:r w:rsidRPr="00E87003">
        <w:t>Драйвером рынка цифровых финансовых активов (ЦФА) может стать развитие налогового регулирования. Такое мнение выразила заместитель председателя ПАО «Банк ПСБ» Ольга Мямлина в рамках VII финансового форума «Просто капитал», сообщила пресс-служба кредитной организации.</w:t>
      </w:r>
      <w:bookmarkEnd w:id="149"/>
    </w:p>
    <w:p w14:paraId="4FE2A9F1" w14:textId="77777777" w:rsidR="005F79C8" w:rsidRPr="00E87003" w:rsidRDefault="005F79C8" w:rsidP="005F79C8">
      <w:r w:rsidRPr="00E87003">
        <w:t xml:space="preserve">«Колоссальными драйверами рынка цифровых финансовых активов могут стать законодательные изменения: необходимо развивать налоговое регулирование, чтобы покупка ЦФА стала интересна крупным игрокам рынка - управляющим компаниям и </w:t>
      </w:r>
      <w:r w:rsidRPr="00E87003">
        <w:rPr>
          <w:b/>
        </w:rPr>
        <w:t>пенсионным фондам</w:t>
      </w:r>
      <w:r w:rsidRPr="00E87003">
        <w:t xml:space="preserve"> - за счет средств, которые находятся в управлении. Важно разрешить регионам выпуск ЦФА для финансирования приоритетных региональных проектов - по аналогии с облигациями», - сказала Мямлина.</w:t>
      </w:r>
    </w:p>
    <w:p w14:paraId="459E66A8" w14:textId="77777777" w:rsidR="005F79C8" w:rsidRPr="00E87003" w:rsidRDefault="005F79C8" w:rsidP="005F79C8">
      <w:r w:rsidRPr="00E87003">
        <w:t>ПСБ готов обеспечивать структурирование ЦФА при работе с крупными инфраструктурными национальными проектами и обеспечивать для проведения сделок все необходимые технологии, отметила эксперт, добавив, что партнеры кредитной организации, обладающие базой участников-инвесторов, смогут оказывать поддержку банку в осуществлении дистрибуции данных проектов.</w:t>
      </w:r>
    </w:p>
    <w:p w14:paraId="68D50848" w14:textId="77777777" w:rsidR="005F79C8" w:rsidRPr="00E87003" w:rsidRDefault="005F79C8" w:rsidP="005F79C8">
      <w:r w:rsidRPr="00E87003">
        <w:t>Мямлина пояснила, что на данный момент наиболее востребованными являются два типа активов: денежное требование, которое составляет более 80% всего рынка ЦФА, и гибридные финансовые инструменты. При этом, в 2024 году на платформе цифровых активов «Токеон» состоялся ряд инновационных выпусков ЦФА.</w:t>
      </w:r>
    </w:p>
    <w:p w14:paraId="4FAB9669" w14:textId="77777777" w:rsidR="005F79C8" w:rsidRPr="00E87003" w:rsidRDefault="005F79C8" w:rsidP="005F79C8">
      <w:r w:rsidRPr="00E87003">
        <w:t>«Среди них - первый выпуск ЦФА, обеспеченный залогом недвижимого имущества, и гибридные цифровые права на продукцию винодельни, которые стали первым шагом в формировании в стране нового инвестиционного рынка - рынка инвестиционного вина», - сказала Мямлина.</w:t>
      </w:r>
    </w:p>
    <w:p w14:paraId="04B61556" w14:textId="77777777" w:rsidR="005F79C8" w:rsidRPr="00E87003" w:rsidRDefault="005F79C8" w:rsidP="005F79C8">
      <w:r w:rsidRPr="00E87003">
        <w:t>Механизм цифровизации и привлечения финансирования, реализованный в данном выпуске, может использоваться для всего агропромышленного комплекса, добавила спикер, отметив, что банк видит большие перспективы развития рынка ЦФА в масштабировании подобных технологий.</w:t>
      </w:r>
    </w:p>
    <w:p w14:paraId="585D39E4" w14:textId="77777777" w:rsidR="00111D7C" w:rsidRPr="00E87003" w:rsidRDefault="005F79C8" w:rsidP="005F79C8">
      <w:hyperlink r:id="rId43" w:history="1">
        <w:r w:rsidRPr="00E87003">
          <w:rPr>
            <w:rStyle w:val="a3"/>
          </w:rPr>
          <w:t>https://tass.ru/novosti-partnerov/23576881</w:t>
        </w:r>
      </w:hyperlink>
    </w:p>
    <w:p w14:paraId="0B82BBC5" w14:textId="77777777" w:rsidR="00BD3630" w:rsidRDefault="00BD3630" w:rsidP="00BD3630">
      <w:pPr>
        <w:pStyle w:val="2"/>
      </w:pPr>
      <w:bookmarkStart w:id="150" w:name="_Hlk194558579"/>
      <w:bookmarkStart w:id="151" w:name="_Toc194558781"/>
      <w:bookmarkEnd w:id="147"/>
      <w:r>
        <w:t>AK&amp;M, 02.04.2025, Половина россиян готовы сменить работу ради расширенного соцпакета от работодателя</w:t>
      </w:r>
      <w:bookmarkEnd w:id="151"/>
    </w:p>
    <w:p w14:paraId="316A232C" w14:textId="77777777" w:rsidR="00BD3630" w:rsidRDefault="00BD3630" w:rsidP="00DA2694">
      <w:pPr>
        <w:pStyle w:val="3"/>
      </w:pPr>
      <w:bookmarkStart w:id="152" w:name="_Toc194558782"/>
      <w:r>
        <w:t>Более половины (58%) россиян полностью или частично довольны социальным пакетом от работодателя. Каждый четвертый мечтает о компенсации жилья и коммунальных услуг за счет компании, а каждый десятый - о путевках в оздоровительные лагеря и санатории для детей. Страховая компания «Росгосстрах Жизнь» провела исследование и выяснила, какие льготы могут повлиять на лояльность и удержание работников и что россияне хотели бы видеть в числе корпоративных льгот.</w:t>
      </w:r>
      <w:bookmarkEnd w:id="152"/>
    </w:p>
    <w:p w14:paraId="4FD42813" w14:textId="77777777" w:rsidR="00BD3630" w:rsidRDefault="00BD3630" w:rsidP="00BD3630">
      <w:r>
        <w:t xml:space="preserve">ДМС (31%) чаще всего входит в стандартный корпоративный соцпакет и зачастую уже не рассматривается соискателями как значимое конкурентное преимущество. Респонденты также указывали и другие ценные и востребованные услуги, которые в </w:t>
      </w:r>
      <w:r>
        <w:lastRenderedPageBreak/>
        <w:t>том числе характеризовали бы компанию как ответственного и привлекательного работодателя. В тройке популярных опций - компенсация затрат на питание (15%) и подарки для сотрудников и их детей к праздникам и билеты на детские мероприятия - об этом заявили 13% опрошенных. Предлагаемые льготы и компенсации, в свою очередь, позволяют 40% опрошенных сохранить до 10% ежемесячного дохода. Каждый пятый работающий россиянин, благодаря корпоративным льготам, экономит до 20% заработка, а каждый десятый - до 50% зарплаты.</w:t>
      </w:r>
    </w:p>
    <w:p w14:paraId="1912399F" w14:textId="77777777" w:rsidR="00BD3630" w:rsidRDefault="00BD3630" w:rsidP="00BD3630">
      <w:r>
        <w:t>Полностью довольны своим соцпакетом 43% россиян. Уровень удовлетворенности у представителей различных профессий показывает, что больше всех корпоративные преференции устраивают медицинских работников (68%), представителей сферы искусства и культуры (53%) и столько же работников торговой отрасли. Чуть меньше - маркетологов, рекламщиков и пиарщиков (52%).</w:t>
      </w:r>
    </w:p>
    <w:p w14:paraId="6B393EA2" w14:textId="77777777" w:rsidR="00BD3630" w:rsidRDefault="00BD3630" w:rsidP="00BD3630">
      <w:r>
        <w:t>При ответе на вопрос о предпочтительных способах расширения соцпакета почти четверть россиян (23%) среди желаемых компенсаций работодателя хотели бы видеть оплату аренды жилья и услуг ЖКХ, а 18% опрошенных считают оплату проезда до работы и обратно необходимым дополнением. Еще 9% были бы рады расширению спектра корпоративных услуг путевками для детей в оздоровительные лагеря и санатории.</w:t>
      </w:r>
    </w:p>
    <w:p w14:paraId="0E24BDB2" w14:textId="77777777" w:rsidR="00BD3630" w:rsidRDefault="00BD3630" w:rsidP="00BD3630">
      <w:r>
        <w:t xml:space="preserve">ДМС остается важным элементом соцпакета, так ответили 24% респондентов. Тем не менее, россияне хотели бы увеличить диапазон услуг страховкой от несчастных случаев (20%), накопительным страхованием жизни (16%) и </w:t>
      </w:r>
      <w:r w:rsidRPr="00C66CFB">
        <w:rPr>
          <w:b/>
        </w:rPr>
        <w:t>негосударственными пенсионными программами</w:t>
      </w:r>
      <w:r>
        <w:t xml:space="preserve"> (16%). При этом более половины опрошенных (51%) готовы софинансировать такие программы. А пока большинство корпоративных предложений ограничивается только программой ДМС, 47% россиян приобретают такие полисы самостоятельно, так как осознают важность финансовой защиты своей жизни и здоровья.</w:t>
      </w:r>
    </w:p>
    <w:p w14:paraId="328E1E6C" w14:textId="77777777" w:rsidR="00BD3630" w:rsidRDefault="00BD3630" w:rsidP="00BD3630">
      <w:r>
        <w:t xml:space="preserve">«Наполнение соцпакета сегодня - такой же актуальный критерий при выборе компании, как и достойная заработная плата или удобный график. Согласно данным нашего исследования, решиться на смену работы ради привлекательных корпоративных привилегий готовы 51% россиян: 34% согласятся перейти в другую организацию при условии более широкого списка опций соцпакета и повышения заработной платы, 17% россиян предпочтут уйти к работодателю с интересными для них опциями даже при условии более низкого дохода. Это определенный сигнал бизнесу, который говорит о необходимости увеличивать и совершенствовать предложения соискателям разнообразными услугами. Только в этом случае их компании будут конкурентны на рынке труда. Мы видим растущий интерес со стороны корпоративных клиентов на программы страхования сотрудников от критических заболеваний, а также запрос на высококвалифицированную поддержку по долговременному уходу (организации помощи тем, кто из-за болезни или травмы не может выполнять простейшие действия: готовить, убираться и т.д.)», - отметила Наталья Белова, заместитель генерального директора СК «Росгосстрах Жизнь». Пресс-релиз подготовлен на основании материала, предоставленного организацией. </w:t>
      </w:r>
    </w:p>
    <w:p w14:paraId="1131D706" w14:textId="77777777" w:rsidR="005F79C8" w:rsidRDefault="00BD3630" w:rsidP="00BD3630">
      <w:hyperlink r:id="rId44" w:history="1">
        <w:r w:rsidRPr="00717B09">
          <w:rPr>
            <w:rStyle w:val="a3"/>
          </w:rPr>
          <w:t>https://www.akm.ru/press/polovina_rossiyan_gotovy_smenit_rabotu_radi_rasshirennogo_sotspaketa_ot_rabotodatelya/</w:t>
        </w:r>
      </w:hyperlink>
    </w:p>
    <w:p w14:paraId="4012C717" w14:textId="77777777" w:rsidR="00156DE5" w:rsidRPr="00156DE5" w:rsidRDefault="00156DE5" w:rsidP="00156DE5">
      <w:pPr>
        <w:pStyle w:val="2"/>
      </w:pPr>
      <w:bookmarkStart w:id="153" w:name="_Hlk194558606"/>
      <w:bookmarkStart w:id="154" w:name="_Toc194558783"/>
      <w:bookmarkEnd w:id="150"/>
      <w:r w:rsidRPr="00156DE5">
        <w:rPr>
          <w:rStyle w:val="DocumentSource"/>
          <w:i/>
          <w:sz w:val="28"/>
        </w:rPr>
        <w:lastRenderedPageBreak/>
        <w:t>ComNews.ru, 03.04.2025</w:t>
      </w:r>
      <w:r w:rsidRPr="00156DE5">
        <w:t xml:space="preserve">, </w:t>
      </w:r>
      <w:r w:rsidRPr="00156DE5">
        <w:rPr>
          <w:rStyle w:val="DocumentName"/>
          <w:rFonts w:eastAsia="Verdana"/>
          <w:b/>
          <w:caps w:val="0"/>
          <w:sz w:val="28"/>
        </w:rPr>
        <w:t>Новое налоговое регулирование и доступ регионов подстегнут российский рынок ЦФА</w:t>
      </w:r>
      <w:bookmarkEnd w:id="154"/>
    </w:p>
    <w:p w14:paraId="2B6C82E4" w14:textId="77777777" w:rsidR="00156DE5" w:rsidRDefault="00156DE5" w:rsidP="00156DE5">
      <w:pPr>
        <w:pStyle w:val="3"/>
      </w:pPr>
      <w:bookmarkStart w:id="155" w:name="_Toc194558784"/>
      <w:r>
        <w:t xml:space="preserve">Главными драйверами развития рынка цифровых финансовых активов могут стать законодательные изменения в области налогового регулирования и разрешение на выпуск ЦФА для финансирования региональных проектов. Эти меры могут привлечь инвестиции крупных игроков рынка, таких как </w:t>
      </w:r>
      <w:r>
        <w:rPr>
          <w:b/>
        </w:rPr>
        <w:t>пенсионные</w:t>
      </w:r>
      <w:r>
        <w:t xml:space="preserve"> фонды и </w:t>
      </w:r>
      <w:r>
        <w:rPr>
          <w:b/>
        </w:rPr>
        <w:t>управляющие компании</w:t>
      </w:r>
      <w:r>
        <w:t>.</w:t>
      </w:r>
      <w:bookmarkEnd w:id="155"/>
    </w:p>
    <w:p w14:paraId="7CE62DE1" w14:textId="77777777" w:rsidR="00156DE5" w:rsidRDefault="00156DE5" w:rsidP="00156DE5">
      <w:r>
        <w:t xml:space="preserve">Заместитель председателя ПАО "Промсвязьбанк" Ольга Мямлина сказала, что налоговое регулирование и доступ регионов к возможности выпускать цифровые финансовые активы для приоритетных региональных проектов могли бы стать драйвером рынка ЦФА и привлечь на него крупных игроков, таких как </w:t>
      </w:r>
      <w:r>
        <w:rPr>
          <w:b/>
        </w:rPr>
        <w:t>управляющие компании</w:t>
      </w:r>
      <w:r>
        <w:t xml:space="preserve"> и </w:t>
      </w:r>
      <w:r>
        <w:rPr>
          <w:b/>
        </w:rPr>
        <w:t>пенсионные</w:t>
      </w:r>
      <w:r>
        <w:t xml:space="preserve"> фонды. Этой мыслью она поделилась с другими участниками VII финансового форума "Просто капитал". По ее словам, наиболее популярными активами являются денежное требование (более 80% всего рынка ЦФА) и гибридные финансовые инструменты.</w:t>
      </w:r>
    </w:p>
    <w:p w14:paraId="257B14C4" w14:textId="77777777" w:rsidR="00156DE5" w:rsidRDefault="00156DE5" w:rsidP="00156DE5">
      <w:r>
        <w:t>"Механизм цифровизации и привлечения финансирования, реализованный в этом выпуске, может использоваться для всего агропромышленного комплекса. Мы видим большие перспективы развития рынка ЦФА в масштабировании таких технологий", - резюмировала Ольга Мямлина.</w:t>
      </w:r>
    </w:p>
    <w:p w14:paraId="7DD858C6" w14:textId="77777777" w:rsidR="00156DE5" w:rsidRDefault="00156DE5" w:rsidP="00156DE5">
      <w:r>
        <w:t>С ее мнением согласилась ведущий аналитик Freedom Finance Global Наталья Мильчакова. Она отметила, что налоговые льготы имеют большое значение для развития финансового рынка и новых инструментов для него. По ее словам, массовый приток частных инвесторов на российский фондовый рынок начался после государственного разрешения получать налоговые вычеты за инвестиции в ценные бумаги с индивидуальных счетов.</w:t>
      </w:r>
    </w:p>
    <w:p w14:paraId="6FD29F42" w14:textId="77777777" w:rsidR="00156DE5" w:rsidRDefault="00156DE5" w:rsidP="00156DE5">
      <w:r>
        <w:t>"Мы полагаем, что если, например, регионы будут выпускать ЦФА для целей инвестирования в региональные проекты, то крупным игрокам финансового рынка, которые будут участвовать в первичном размещении, можно было бы предоставлять льготы по налогу на прибыль на сумму, компенсирующие их транзакционные издержки, связанные с первичным размещением. А инвесторам-юридическим лицам можно было бы тоже предоставить возможность льготного налогообложения процентов, полученных по таким ЦФА. Если эмитентами ЦФА будут выступать региональные власти, то можно было бы внести изменения в законодательство, разрешающие негосударственным пенсионным и инвестиционным фондам приобретать в портфели такие активы. Более того, в будущем, если рынок ЦФА в России будет более развит и ликвиден, чем сегодня, можно было бы разрешить инвестиции в ЦФА органов региональной власти ФНБ и ВЭБ и Соцфонду, что стало бы очень серьезным драйвером развития этого рынка", - сказала она.</w:t>
      </w:r>
    </w:p>
    <w:p w14:paraId="7E34A693" w14:textId="77777777" w:rsidR="00156DE5" w:rsidRDefault="00156DE5" w:rsidP="00156DE5">
      <w:r>
        <w:t>Однако, директор по продуктовому развитию ООО "УК "Финам Менеджмент" Евгений Цибульский заметил, что регулирование ЦФА должно включать ряд изменений, приближающий рынок ЦФА к фондовому. По его словам, на первом действует ряд ограничений, такие как выпуск ЦФА на ЦБ, замедляющих его рост.</w:t>
      </w:r>
    </w:p>
    <w:p w14:paraId="44E7627E" w14:textId="77777777" w:rsidR="00156DE5" w:rsidRDefault="00156DE5" w:rsidP="00156DE5">
      <w:r>
        <w:t xml:space="preserve">"Огромным стопером для развития рынка ЦФА является невозможность проведения онбординга клиентов ОИСам, в группе которых нет банка. Основное, что помогло бы </w:t>
      </w:r>
      <w:r>
        <w:lastRenderedPageBreak/>
        <w:t>развить рынок ЦФА - это как раз те продукты, которые сложно / дорого реализовать через классические фондовые инструменты (акции / облигации / паи и так далее), например: инвестирование в проектное финансирование, токенизация недвижимости с возможностью получения недвижимости при достижении определенного количества ЦФА, токенизация непубличных компаний, стейбл-койны (точнее - его аналоги) и так далее. Все это лишь часть тех проектов в рамках общепринятого названия "токенизация", которые могли бы существенно развить рынок", - рассказал Евгений Цибиульский.</w:t>
      </w:r>
    </w:p>
    <w:p w14:paraId="7BBA56CF" w14:textId="77777777" w:rsidR="00156DE5" w:rsidRDefault="00156DE5" w:rsidP="00156DE5">
      <w:r>
        <w:t>По словам руководителя направления по развитию бизнеса АО "Прайм Брокерский Сервис" (ПБС) Евгения Бабошкина, отсутствие широкого законодательства, определяющего статус ЦФА и прописывающего разрешенные законом операции и их учет - главный камень преткновения для расширения финансирования проектов, необходимых как корпоративному сектору, так и субъектам РФ. Что особенно важно в свете кредитов по ставкам выше 25% и условиях невысокой рентабельности, которой обладают региональные инициативы, направленные на социальные цели.</w:t>
      </w:r>
    </w:p>
    <w:p w14:paraId="36A137A4" w14:textId="77777777" w:rsidR="00156DE5" w:rsidRDefault="00156DE5" w:rsidP="00156DE5">
      <w:r>
        <w:t>"Учитывая объективные реалии, кроме региональных проектов, использование ЦФА можно было бы законодательно существенно расширить. У нас уже есть цифровой рубль, и его широкое тестирование банками доказывает, что цифровых активов не надо опасаться. Наоборот, их использование в период сложных кредитно-банковских условий в РФ можно было бы расширить в таких перспективных направлениях как, например, покупка квадратных метров (долей) в строящемся жилье. Это позволило бы снять напряженность на ипотечном рынке и помочь девелоперам получить финансирование, а гражданам, желающим приобрести квартиру, меньше беспокоиться о постоянно растущих ценах на жилье.). Помимо этого, ЦФА на нефть и продукты ее переработки в условиях санкций дали бы шанс организовать межстрановой рынок для российсого энергоэкспорта с понятными правилами и высокой ликвидностью или зафиксировать цены для внутренних потребителей этой продукции ЦФА на инфраструктурные проекты буквально вдохнули бы новую энергию в региональное развитие, пробуксовка которого ведет к сложной ситуации со снабжением и на местных рынках труда, а также с социальной и медицинской помощью - в особенности, в отдаленных субъектах Федерации", - заключил Евгений Бабошкин.</w:t>
      </w:r>
    </w:p>
    <w:p w14:paraId="61E04C8B" w14:textId="77777777" w:rsidR="00156DE5" w:rsidRDefault="00156DE5" w:rsidP="00156DE5">
      <w:hyperlink r:id="rId45" w:history="1">
        <w:r>
          <w:rPr>
            <w:rStyle w:val="DocumentOriginalLink"/>
          </w:rPr>
          <w:t>https://www.comnews.ru/content/238613/2025-04-03/2025-w14/1008/novoe-nalogovoe-regulirovanie-i-dostup-regionov-podstegnut-rossiyskiy-rynok-cfa</w:t>
        </w:r>
      </w:hyperlink>
    </w:p>
    <w:bookmarkEnd w:id="153"/>
    <w:p w14:paraId="74E552A6" w14:textId="77777777" w:rsidR="00156DE5" w:rsidRDefault="00156DE5" w:rsidP="00156DE5">
      <w:r>
        <w:t>Сообщения с аналогичным содержанием:</w:t>
      </w:r>
    </w:p>
    <w:p w14:paraId="1CA0A890" w14:textId="77777777" w:rsidR="00BD3630" w:rsidRPr="00E87003" w:rsidRDefault="00156DE5" w:rsidP="00156DE5">
      <w:r>
        <w:rPr>
          <w:b/>
        </w:rPr>
        <w:t>03.04.2025 Russian-telecoms.net</w:t>
      </w:r>
      <w:r>
        <w:br/>
      </w:r>
      <w:r>
        <w:rPr>
          <w:b/>
        </w:rPr>
        <w:t>Новое налоговое регулирование и доступ регионов подстегнут российский рынок ЦФА</w:t>
      </w:r>
      <w:r>
        <w:br/>
      </w:r>
      <w:hyperlink r:id="rId46" w:history="1">
        <w:r>
          <w:rPr>
            <w:rStyle w:val="DoubleOriginalLink"/>
          </w:rPr>
          <w:t>https://www.russian-telecoms.net/index.php?option=com_kunena&amp;view=topic&amp;catid=11&amp;id=118250&amp;Itemid=216&amp;mesid=118398</w:t>
        </w:r>
      </w:hyperlink>
    </w:p>
    <w:p w14:paraId="78C5A0FF" w14:textId="77777777" w:rsidR="00C64C64" w:rsidRPr="00DA2694" w:rsidRDefault="00C64C64" w:rsidP="00C64C64">
      <w:pPr>
        <w:pStyle w:val="2"/>
      </w:pPr>
      <w:bookmarkStart w:id="156" w:name="_Toc194548895"/>
      <w:bookmarkStart w:id="157" w:name="_Hlk194558637"/>
      <w:bookmarkStart w:id="158" w:name="_Toc194558785"/>
      <w:bookmarkEnd w:id="145"/>
      <w:bookmarkEnd w:id="146"/>
      <w:r w:rsidRPr="00DA2694">
        <w:rPr>
          <w:rStyle w:val="DocumentSource"/>
          <w:i/>
          <w:sz w:val="28"/>
        </w:rPr>
        <w:lastRenderedPageBreak/>
        <w:t>РИА Новости</w:t>
      </w:r>
      <w:r w:rsidRPr="00DA2694">
        <w:t xml:space="preserve">, 03.04.2025, </w:t>
      </w:r>
      <w:r w:rsidRPr="00DA2694">
        <w:rPr>
          <w:rStyle w:val="DocumentName"/>
          <w:rFonts w:eastAsia="Verdana"/>
          <w:b/>
          <w:caps w:val="0"/>
          <w:sz w:val="28"/>
        </w:rPr>
        <w:t>Глава комитета ГД по финрынку Аксаков ждет снижения ставки ЦБ в апреле на 0,25 п.п.</w:t>
      </w:r>
      <w:bookmarkEnd w:id="156"/>
      <w:bookmarkEnd w:id="158"/>
    </w:p>
    <w:p w14:paraId="50BE3F76" w14:textId="77777777" w:rsidR="00C64C64" w:rsidRPr="00FA36C4" w:rsidRDefault="00C64C64" w:rsidP="00C64C64">
      <w:pPr>
        <w:pStyle w:val="3"/>
      </w:pPr>
      <w:bookmarkStart w:id="159" w:name="_Toc194558786"/>
      <w:r w:rsidRPr="00FA36C4">
        <w:t>Председатель комитета Госдумы по финансовому рынку Анатолий Аксаков сообщил РИА Новости, что ожидает снижения ключевой ставки ЦБ РФ в апреле на 0,25 процентного пункта с нынешних 21% годовых.</w:t>
      </w:r>
      <w:bookmarkEnd w:id="159"/>
    </w:p>
    <w:p w14:paraId="2D957034" w14:textId="77777777" w:rsidR="00C64C64" w:rsidRPr="00FA36C4" w:rsidRDefault="00C64C64" w:rsidP="00C64C64">
      <w:r w:rsidRPr="00FA36C4">
        <w:t>"На следующем заседании в апреле ожидаем снижения на 0,25 (процентного пункта - ред .), не больше", - сказал он, отвечая на вопрос, когда можно ожидать снижения ключевой ставки Банка России.</w:t>
      </w:r>
    </w:p>
    <w:p w14:paraId="58FE48AA" w14:textId="77777777" w:rsidR="00C64C64" w:rsidRPr="00FA36C4" w:rsidRDefault="00C64C64" w:rsidP="00C64C64">
      <w:r w:rsidRPr="00FA36C4">
        <w:t>Очередное заседание совета директоров ЦБ, на котором будет рассматриваться вопрос об уровне ключевой ставки, запланировано на 25 апреля.</w:t>
      </w:r>
    </w:p>
    <w:p w14:paraId="2E36906E" w14:textId="77777777" w:rsidR="00C64C64" w:rsidRPr="00FA36C4" w:rsidRDefault="00C64C64" w:rsidP="00C64C64">
      <w:r w:rsidRPr="00FA36C4">
        <w:t>ЦБ РФ 21 марта ожидаемо сохранил ключевую ставку на уровне 21% годовых, третий раз подряд, изменив сигнал: теперь регулятор рассмотрит вопрос о повышении ставки, если динамика дезинфляции не будет обеспечивать достижение цели. Заместитель председателя ЦБ Алексей Заботкин на прошлой неделе отмечал, что это был умеренно жесткий сигнал по дальнейшим шагам регулятора.</w:t>
      </w:r>
    </w:p>
    <w:p w14:paraId="7E4F8A4C" w14:textId="77777777" w:rsidR="00C64C64" w:rsidRPr="00102C65" w:rsidRDefault="00C64C64" w:rsidP="00C64C64">
      <w:r w:rsidRPr="00FA36C4">
        <w:t>ЦБ в базовом сценарии ожидает, что в ближайшие месяцы инфляционное давление продолжит снижаться. Согласно февральскому прогнозу регулятора, по итогам 2025 года инфляция составит 7-8% годовых.</w:t>
      </w:r>
    </w:p>
    <w:p w14:paraId="4C798A9B" w14:textId="77777777" w:rsidR="00C64C64" w:rsidRDefault="00C64C64" w:rsidP="00C64C64">
      <w:pPr>
        <w:pStyle w:val="2"/>
      </w:pPr>
      <w:bookmarkStart w:id="160" w:name="_Toc194558787"/>
      <w:bookmarkEnd w:id="157"/>
      <w:r>
        <w:t>Коммерсантъ, 02.04.2025, Жизнь страховать - не поле перейти</w:t>
      </w:r>
      <w:bookmarkEnd w:id="160"/>
      <w:r>
        <w:t xml:space="preserve"> </w:t>
      </w:r>
    </w:p>
    <w:p w14:paraId="6DC74608" w14:textId="77777777" w:rsidR="00C64C64" w:rsidRDefault="00C64C64" w:rsidP="00C64C64">
      <w:pPr>
        <w:pStyle w:val="3"/>
      </w:pPr>
      <w:bookmarkStart w:id="161" w:name="_Toc194558788"/>
      <w:r>
        <w:t>Страховщики медленно запускают продажу полисов долевого страхования жизни (ДСЖ), которая разрешена с начала 2025 года. По словам участников рынка, в этом сегменте остаются нерешенными некоторые вопросы регулирования, а также вызывает вопросы способность продукта конкурировать с ПИФами. В связи с этим на рынке обсуждается идея аналога ранее популярных полисов инвестиционного страхования жизни (ИСЖ), но уже для квалифицированных инвесторов.</w:t>
      </w:r>
      <w:bookmarkEnd w:id="161"/>
    </w:p>
    <w:p w14:paraId="10D68610" w14:textId="77777777" w:rsidR="00C64C64" w:rsidRDefault="00C64C64" w:rsidP="00C64C64">
      <w:r>
        <w:t>Большая часть страховых компаний пока не запустила долевое страхование жизни, следует из оперативного опроса "Ъ". Лишь получившие лицензии УК в первом квартале 2025 года «Сбербанк страхование жизни» и «Ренессанс Жизнь» начали предоставлять такие услуги клиентам. Причем «Сбербанк страхование жизни» уже предоставляет возможность приобрести паи ПИФа, зарегистрированного 26 марта, а «Ренессанс Жизнь» запустила продукт совместно с УК «ТКБ Инвестмент Партнерс».</w:t>
      </w:r>
    </w:p>
    <w:p w14:paraId="10E1CFAF" w14:textId="77777777" w:rsidR="00C64C64" w:rsidRDefault="00C64C64" w:rsidP="00C64C64">
      <w:r>
        <w:t xml:space="preserve">Вместе с тем «Капитал Лайф Страхование жизни», которая получила лицензию УК в марте 2025 года, лишь планирует запускать ДСЖ на ее базе во втором квартале. Тогда же собираются предоставлять такие услуги «АльфаСтрахование-Жизнь», «СОГАЗ-Жизнь» и «Ингосстрах», но уже в партнерстве с управляющими компаниями (УК). «РСХБ-Страхование жизни» пока проводит переговоры с управляющими компаниями - как внутри группы РСХБ, так и вне ее. При этом страховщик планирует рассмотреть вопрос получения лицензии УК во второй половине 2025 года «после анализа клиентского спроса, а также оценки затрат, связанных с сопровождением договоров ДСЖ», пояснили в компании. «Согласие-Вита» также рассматривает оба варианта </w:t>
      </w:r>
      <w:r>
        <w:lastRenderedPageBreak/>
        <w:t>реализации продукта и планирует старт продаж полисов летом 2025 года. «Страховщики, которые будут работать и по своей лицензии, и с рыночными управляющими компаниями, смогут сделать наиболее гибкие решения для клиента»,- отмечают в «Ренессанс Жизнь».</w:t>
      </w:r>
    </w:p>
    <w:p w14:paraId="41E92512" w14:textId="77777777" w:rsidR="00C64C64" w:rsidRDefault="00C64C64" w:rsidP="00C64C64">
      <w:r>
        <w:t>С 1 января 2025 года вступили в силу положения закона о ДСЖ, касающиеся заключения договоров страхования. Для проведения этих операций участники рынка должны иметь либо договор с управляющей компанией, либо получить лицензию УК. В случае приобретения ДСЖ страхователь самостоятельно инвестирует средства в паи открытых и закрытых ПИФов, меняет структуру портфеля, давая соответствующие указания страховой компании. По оценкам экспертов, потенциальный объем рынка ДСЖ может составить 180-250 млрд руб. (см. "Ъ" от 5 декабря 2024 года).</w:t>
      </w:r>
    </w:p>
    <w:p w14:paraId="283FFBBB" w14:textId="77777777" w:rsidR="00C64C64" w:rsidRDefault="00C64C64" w:rsidP="00C64C64">
      <w:r>
        <w:t>По словам экспертов, страховщикам интересна продажа полисов ДСЖ как альтернатива значимому сегменту инвестиционного страхования жизни (ИСЖ), продажи в котором они не смогут осуществлять с 2026 года. При этом прибыль страховщика «по данному продукту складывается из двух составляющих - комиссия за управление (если страховщик получил лицензию УК и осуществляет управление самостоятельно) плюс маржа по страховой части», поясняет партнер Б1 Татьяна Самсонова.</w:t>
      </w:r>
    </w:p>
    <w:p w14:paraId="39A906C2" w14:textId="77777777" w:rsidR="00C64C64" w:rsidRDefault="00C64C64" w:rsidP="00C64C64">
      <w:r>
        <w:t>Вместе с тем продукты ДСЖ вступают в серьезную конкуренцию с традиционными инструментами инвестирования.</w:t>
      </w:r>
    </w:p>
    <w:p w14:paraId="24750171" w14:textId="77777777" w:rsidR="00C64C64" w:rsidRDefault="00C64C64" w:rsidP="00C64C64">
      <w:r>
        <w:t>И здесь преимущества для конечного инвестора не так очевидны - «ограничен выбор инструментов инвестирования, денежные средства замораживаются на длительный срок, не до конца решен вопрос с налоговыми льготами», указывает директор департамента «Страхование» компании «Рексофт» Никита Евсеенко. С точки зрения правовых вопросов «до сих пор не определен статус страховой компании как полноценного участника финансового рынка в рамках ДСЖ, который может вести идентификацию страхователя для проведения им операций с паями», отмечают в «СОГАЗ-Жизнь».</w:t>
      </w:r>
    </w:p>
    <w:p w14:paraId="37C51209" w14:textId="77777777" w:rsidR="00C64C64" w:rsidRDefault="00C64C64" w:rsidP="00C64C64">
      <w:r>
        <w:t>На этом фоне страховщики предложили ЦБ запустить новый более рискованный продукт страхования жизни с инвестиционной составляющей. Идет обсуждение возможной модификации ИСЖ в части повышения требований к страхователям, по аналогии со статусом квалифицированного инвестора у брокеров, поясняют в «Совкомбанк Страхование жизни». «В этой категории более высокие премии (от 10 млн руб.), можно инвестировать в ЗПИФ, получать потенциально более высокую доходность»,- отмечает директор практики Kept по работе с компаниями финансового сектора Владимир Шур. В том числе так как ЗПИФы, которые доступны квалифицированным инвесторам, предлагают более широкие возможности для инвестирования и могут иметь бОльшую потенциальную доходность для страхователя.</w:t>
      </w:r>
    </w:p>
    <w:p w14:paraId="1E51AFC6" w14:textId="77777777" w:rsidR="00C64C64" w:rsidRDefault="00C64C64" w:rsidP="00C64C64">
      <w:r>
        <w:t>Одновременно это позволит увеличить заработки и страховщикам. «Можно больше заработать на большей сумме вложений за счет комиссий, сделать кросс-продажи других продуктов. Клиент в этой категории более состоятельный, может с большей вероятностью приобрести дополнительные продукты»,- поясняет господин Шур.</w:t>
      </w:r>
    </w:p>
    <w:p w14:paraId="3ED103DD" w14:textId="77777777" w:rsidR="00C64C64" w:rsidRDefault="00C64C64" w:rsidP="00C64C64">
      <w:hyperlink r:id="rId47" w:history="1">
        <w:r w:rsidRPr="00717B09">
          <w:rPr>
            <w:rStyle w:val="a3"/>
          </w:rPr>
          <w:t>https://www.kommersant.ru/doc/7623674</w:t>
        </w:r>
      </w:hyperlink>
    </w:p>
    <w:p w14:paraId="5A6F5256" w14:textId="77777777" w:rsidR="00111D7C" w:rsidRPr="00E87003" w:rsidRDefault="00111D7C" w:rsidP="00111D7C"/>
    <w:p w14:paraId="7BB685A7" w14:textId="77777777" w:rsidR="00111D7C" w:rsidRPr="00E87003" w:rsidRDefault="00111D7C" w:rsidP="00111D7C">
      <w:pPr>
        <w:pStyle w:val="251"/>
      </w:pPr>
      <w:bookmarkStart w:id="162" w:name="_Toc99271712"/>
      <w:bookmarkStart w:id="163" w:name="_Toc99318658"/>
      <w:bookmarkStart w:id="164" w:name="_Toc165991078"/>
      <w:bookmarkStart w:id="165" w:name="_Toc194558789"/>
      <w:r w:rsidRPr="00E87003">
        <w:lastRenderedPageBreak/>
        <w:t>НОВОСТИ ЗАРУБЕЖНЫХ ПЕНСИОННЫХ СИСТЕМ</w:t>
      </w:r>
      <w:bookmarkEnd w:id="162"/>
      <w:bookmarkEnd w:id="163"/>
      <w:bookmarkEnd w:id="164"/>
      <w:bookmarkEnd w:id="165"/>
    </w:p>
    <w:p w14:paraId="243264C3" w14:textId="77777777" w:rsidR="00111D7C" w:rsidRPr="00E87003" w:rsidRDefault="00111D7C" w:rsidP="00111D7C">
      <w:pPr>
        <w:pStyle w:val="10"/>
      </w:pPr>
      <w:bookmarkStart w:id="166" w:name="_Toc99271713"/>
      <w:bookmarkStart w:id="167" w:name="_Toc99318659"/>
      <w:bookmarkStart w:id="168" w:name="_Toc165991079"/>
      <w:bookmarkStart w:id="169" w:name="_Toc194558790"/>
      <w:r w:rsidRPr="00E87003">
        <w:t>Новости пенсионной отрасли стран ближнего зарубежья</w:t>
      </w:r>
      <w:bookmarkEnd w:id="166"/>
      <w:bookmarkEnd w:id="167"/>
      <w:bookmarkEnd w:id="168"/>
      <w:bookmarkEnd w:id="169"/>
    </w:p>
    <w:p w14:paraId="3C504184" w14:textId="77777777" w:rsidR="00F576E4" w:rsidRPr="00E87003" w:rsidRDefault="00F576E4" w:rsidP="00F576E4">
      <w:pPr>
        <w:pStyle w:val="2"/>
      </w:pPr>
      <w:bookmarkStart w:id="170" w:name="_Toc194558791"/>
      <w:r w:rsidRPr="00E87003">
        <w:t>БЕЛТА, 02.04.2025, Депутаты приняли в первом чтении законопроект по вопросам соцстрахования и пенсионного обеспечения</w:t>
      </w:r>
      <w:bookmarkEnd w:id="170"/>
    </w:p>
    <w:p w14:paraId="6DEE3307" w14:textId="77777777" w:rsidR="00F576E4" w:rsidRPr="00E87003" w:rsidRDefault="00F576E4" w:rsidP="00DA2694">
      <w:pPr>
        <w:pStyle w:val="3"/>
      </w:pPr>
      <w:bookmarkStart w:id="171" w:name="_Toc194558792"/>
      <w:r w:rsidRPr="00E87003">
        <w:t>Депутаты на заседании второй сессии Палаты представителей Национального собрания Республики Беларусь восьмого созыва приняли в первом чтении законопроект "Об изменении законов по вопросам государственного социального страхования и пенсионного обеспечения", передает корреспондент БЕЛТА.</w:t>
      </w:r>
      <w:bookmarkEnd w:id="171"/>
      <w:r w:rsidRPr="00E87003">
        <w:t xml:space="preserve"> </w:t>
      </w:r>
    </w:p>
    <w:p w14:paraId="662877B8" w14:textId="77777777" w:rsidR="00F576E4" w:rsidRPr="00E87003" w:rsidRDefault="00F576E4" w:rsidP="00F576E4">
      <w:r w:rsidRPr="00E87003">
        <w:t>Законопроект представил депутатам заместитель министра труда и социальной защиты Валерий Ковальков.</w:t>
      </w:r>
    </w:p>
    <w:p w14:paraId="3985C881" w14:textId="77777777" w:rsidR="00F576E4" w:rsidRPr="00E87003" w:rsidRDefault="00F576E4" w:rsidP="00F576E4">
      <w:r w:rsidRPr="00E87003">
        <w:t>Что касается законодательных инициатив, усиливаются меры поддержки плательщиков налога на профессиональный доход (НПД) в части формирования будущих пенсионных прав. На ежегодной основе предусмотрено право (при изъявлении желания) доплатить взносы на пенсионное страхование в бюджет фонда соцзащиты населения.</w:t>
      </w:r>
    </w:p>
    <w:p w14:paraId="5C69BD9A" w14:textId="77777777" w:rsidR="00F576E4" w:rsidRPr="00E87003" w:rsidRDefault="00F576E4" w:rsidP="00F576E4">
      <w:r w:rsidRPr="00E87003">
        <w:t>Во-вторых, упрощается и изменяется порядок государственного социального страхования индивидуальных предпринимателей, плательщиков подоходного налога.</w:t>
      </w:r>
    </w:p>
    <w:p w14:paraId="5F9B9463" w14:textId="77777777" w:rsidR="00F576E4" w:rsidRPr="00E87003" w:rsidRDefault="00F576E4" w:rsidP="00F576E4">
      <w:r w:rsidRPr="00E87003">
        <w:t xml:space="preserve">Устанавливается дифференцированная формула уплаты взносов в ФСЗН в размере 35%. Так, взносы в ФСЗН уплачиваются из фактического дохода (в действующем законодательстве - не ниже чем из размера 12 минимальных заработных плат (МЗП) - для ИП, у которых в календарном году доход составил менее 12 МЗП; из 12 МЗП или иной суммы, превышающей данный порог (аналогично, как в действующем законодательстве), - для ИП, у которых доход за календарный год составил 12 МЗП и более. </w:t>
      </w:r>
    </w:p>
    <w:p w14:paraId="6E9872D4" w14:textId="77777777" w:rsidR="00F576E4" w:rsidRPr="00E87003" w:rsidRDefault="00F576E4" w:rsidP="00F576E4">
      <w:r w:rsidRPr="00E87003">
        <w:t>Продлеваются сроки - уплата взносов в ФСЗН переносится с 1 марта на 31 марта года, следующего за отчетным.</w:t>
      </w:r>
    </w:p>
    <w:p w14:paraId="697A1930" w14:textId="77777777" w:rsidR="00F576E4" w:rsidRPr="00E87003" w:rsidRDefault="00F576E4" w:rsidP="00F576E4">
      <w:r w:rsidRPr="00E87003">
        <w:t xml:space="preserve">Упраздняется нагрузка на ИП по администрированию и ведению персонифицированного учета - ИП достаточно будет только своевременно оплатить сумму страховых взносов, которую по итогам календарного года рассчитает ФСЗН (на основании данных МНС) и выставит для ИП к оплате. </w:t>
      </w:r>
    </w:p>
    <w:p w14:paraId="0C252F1E" w14:textId="77777777" w:rsidR="00F576E4" w:rsidRPr="00E87003" w:rsidRDefault="00F576E4" w:rsidP="00F576E4">
      <w:r w:rsidRPr="00E87003">
        <w:t xml:space="preserve">В третьих, при установлении серых схем выплаты заработной платы для работодателей устанавливается особый порядок уплаты взносов в ФСЗН. </w:t>
      </w:r>
    </w:p>
    <w:p w14:paraId="098D3BDD" w14:textId="77777777" w:rsidR="00F576E4" w:rsidRPr="00E87003" w:rsidRDefault="00F576E4" w:rsidP="00F576E4">
      <w:r w:rsidRPr="00E87003">
        <w:t>Отменяется ограничение по максимальному объекту для начисления взносов - пятикратная величина средней заработной платы по республике (СЗП).</w:t>
      </w:r>
    </w:p>
    <w:p w14:paraId="0A3E35FA" w14:textId="77777777" w:rsidR="00F576E4" w:rsidRPr="00E87003" w:rsidRDefault="00F576E4" w:rsidP="00F576E4">
      <w:r w:rsidRPr="00E87003">
        <w:lastRenderedPageBreak/>
        <w:t xml:space="preserve">Уплата взносов будет производиться из фактических сумм выплат заработной платы в конверте, но не ниже 1/30 пятикратной величины СЗП за каждый день выплаты заработной платы в конверте. </w:t>
      </w:r>
    </w:p>
    <w:p w14:paraId="0FA95D23" w14:textId="77777777" w:rsidR="00F576E4" w:rsidRPr="00E87003" w:rsidRDefault="00F576E4" w:rsidP="00F576E4">
      <w:r w:rsidRPr="00E87003">
        <w:t>Для работников, получающих зарплату в конвертах, в страховой стаж для пенсии будут учитываться выплаты из размера МЗП.</w:t>
      </w:r>
    </w:p>
    <w:p w14:paraId="6F66CCB9" w14:textId="77777777" w:rsidR="00F576E4" w:rsidRPr="00E87003" w:rsidRDefault="00F576E4" w:rsidP="00F576E4">
      <w:r w:rsidRPr="00E87003">
        <w:t>Кроме того, предусмотрены изменения в области пенсионного обеспечения - корректировка порядка выплаты пенсий гражданам, находящимся в местах лишения свободы (процедурные вопросы).</w:t>
      </w:r>
    </w:p>
    <w:p w14:paraId="55C8BA36" w14:textId="77777777" w:rsidR="00F576E4" w:rsidRPr="00E87003" w:rsidRDefault="00F576E4" w:rsidP="00F576E4">
      <w:hyperlink r:id="rId48" w:history="1">
        <w:r w:rsidRPr="00E87003">
          <w:rPr>
            <w:rStyle w:val="a3"/>
          </w:rPr>
          <w:t>https://belta.by/society/view/deputaty-prinjali-v-pervom-chtenii-zakonoproekt-po-voprosam-sotsstrahovanija-i-pensionnogo-706493-2025/</w:t>
        </w:r>
      </w:hyperlink>
      <w:r w:rsidRPr="00E87003">
        <w:t xml:space="preserve"> </w:t>
      </w:r>
    </w:p>
    <w:p w14:paraId="109C7DC4" w14:textId="77777777" w:rsidR="007F0E1A" w:rsidRPr="00E87003" w:rsidRDefault="007F0E1A" w:rsidP="007F0E1A">
      <w:pPr>
        <w:pStyle w:val="2"/>
      </w:pPr>
      <w:bookmarkStart w:id="172" w:name="_Toc194558793"/>
      <w:r w:rsidRPr="00E87003">
        <w:t>LS, 02.04.2025, Деньги на старость: что происходило с пенсионными накоплениями последние пять лет</w:t>
      </w:r>
      <w:bookmarkEnd w:id="172"/>
    </w:p>
    <w:p w14:paraId="5E917B01" w14:textId="77777777" w:rsidR="007F0E1A" w:rsidRPr="00E87003" w:rsidRDefault="007F0E1A" w:rsidP="00DA2694">
      <w:pPr>
        <w:pStyle w:val="3"/>
      </w:pPr>
      <w:bookmarkStart w:id="173" w:name="_Toc194558794"/>
      <w:r w:rsidRPr="00E87003">
        <w:t>В Нацбанке рассказали LS о том, как изменилась доходность пенсионных накоплений казахстанцев за последние пять лет.</w:t>
      </w:r>
      <w:bookmarkEnd w:id="173"/>
    </w:p>
    <w:p w14:paraId="0E28B50D" w14:textId="77777777" w:rsidR="007F0E1A" w:rsidRPr="00E87003" w:rsidRDefault="007F0E1A" w:rsidP="007F0E1A">
      <w:r w:rsidRPr="00E87003">
        <w:t>По данным ведомства, с 2020 по 2024 год размер пенсионных активов под управлением Нацбанка увеличился более чем в два раза – с 10,8 до 22,4 трлн тенге.</w:t>
      </w:r>
    </w:p>
    <w:p w14:paraId="4AB6657A" w14:textId="77777777" w:rsidR="007F0E1A" w:rsidRPr="00E87003" w:rsidRDefault="007F0E1A" w:rsidP="007F0E1A">
      <w:r w:rsidRPr="00E87003">
        <w:t>За этот период валютная доля портфеля ЕНПФ была увеличена с 30% до 40%. Кроме того, в феврале 2020 года в целях улучшения его показателей доходности и риска инструменты денежного рынка заменили на среднесрочные казначейские облигации США с целевой долей 30%. Это было сделано, чтобы компенсировать волатильность по другим классам активов данного портфеля.</w:t>
      </w:r>
    </w:p>
    <w:p w14:paraId="525FC42C" w14:textId="77777777" w:rsidR="007F0E1A" w:rsidRPr="00E87003" w:rsidRDefault="007F0E1A" w:rsidP="007F0E1A">
      <w:r w:rsidRPr="00E87003">
        <w:t>Также Нацбанк увеличил долю акций с 21% до 25%, чтобы повысить доходность валютных активов.</w:t>
      </w:r>
    </w:p>
    <w:p w14:paraId="3EF5B76F" w14:textId="77777777" w:rsidR="007F0E1A" w:rsidRPr="00E87003" w:rsidRDefault="007F0E1A" w:rsidP="007F0E1A">
      <w:r w:rsidRPr="00E87003">
        <w:t>"Данное перераспределение было осуществлено за счет уменьшения доли облигаций развивающихся стран с 28% до 25% и корпоративных бондов с 21% до 20%", – уточнили в главном банке.</w:t>
      </w:r>
    </w:p>
    <w:p w14:paraId="738AE2EE" w14:textId="77777777" w:rsidR="007F0E1A" w:rsidRPr="00E87003" w:rsidRDefault="007F0E1A" w:rsidP="007F0E1A">
      <w:r w:rsidRPr="00E87003">
        <w:t>Напомним, для управления валютными активами Нацбанк привлек ведущие зарубежные компании по определенным мандатам. Таким образом, с 2020 по 2024 год размер накоплений во внешнем управлении увеличился с 1,96% до 21,4%.</w:t>
      </w:r>
    </w:p>
    <w:p w14:paraId="3230BAD9" w14:textId="77777777" w:rsidR="007F0E1A" w:rsidRPr="00E87003" w:rsidRDefault="007F0E1A" w:rsidP="007F0E1A">
      <w:r w:rsidRPr="00E87003">
        <w:t>Если рассмотреть доходность активов ЕНПФ за последние пять лет, то наибольший размер пришелся на прошлый год – 17,84%. Тогда как наименьший показатель был отмечен в 2022 году (6,55%).</w:t>
      </w:r>
    </w:p>
    <w:p w14:paraId="127CF060" w14:textId="77777777" w:rsidR="007F0E1A" w:rsidRPr="00E87003" w:rsidRDefault="007F0E1A" w:rsidP="007F0E1A">
      <w:r w:rsidRPr="00E87003">
        <w:t>А вот общий размер начисленного инвестдохода за 2020-2024 годы составил 8,6 трлн тенге.</w:t>
      </w:r>
    </w:p>
    <w:p w14:paraId="5E1E48AC" w14:textId="77777777" w:rsidR="007F0E1A" w:rsidRPr="00E87003" w:rsidRDefault="007F0E1A" w:rsidP="007F0E1A">
      <w:r w:rsidRPr="00E87003">
        <w:t>Ранее LS писал о том, что главный банк пересмотрит подход к управлению пенсионными накоплениями казахстанцев. Тем временем с начала текущего года доходность активов ЕНПФ сложилась отрицательной – (-)370,56 млрд тенге. Такую ситуацию в Нацбанке объяснили волатильностью курсов инвалют, изменением рыночной стоимости фининструментов и инфляцией.</w:t>
      </w:r>
    </w:p>
    <w:p w14:paraId="4AD6D85C" w14:textId="77777777" w:rsidR="00111D7C" w:rsidRPr="00E87003" w:rsidRDefault="007F0E1A" w:rsidP="007F0E1A">
      <w:hyperlink r:id="rId49" w:history="1">
        <w:r w:rsidRPr="00E87003">
          <w:rPr>
            <w:rStyle w:val="a3"/>
          </w:rPr>
          <w:t>https://lsm.kz/investirovanie-aktivov-enpf-obzor</w:t>
        </w:r>
      </w:hyperlink>
    </w:p>
    <w:p w14:paraId="2F370E26" w14:textId="77777777" w:rsidR="007F0E1A" w:rsidRPr="00E87003" w:rsidRDefault="007F0E1A" w:rsidP="007F0E1A"/>
    <w:p w14:paraId="6E26A1A4" w14:textId="77777777" w:rsidR="00111D7C" w:rsidRPr="00E87003" w:rsidRDefault="00111D7C" w:rsidP="00111D7C">
      <w:pPr>
        <w:pStyle w:val="10"/>
      </w:pPr>
      <w:bookmarkStart w:id="174" w:name="_Toc99271715"/>
      <w:bookmarkStart w:id="175" w:name="_Toc99318660"/>
      <w:bookmarkStart w:id="176" w:name="_Toc165991080"/>
      <w:bookmarkStart w:id="177" w:name="_Toc194558795"/>
      <w:r w:rsidRPr="00E87003">
        <w:t>Новости пенсионной отрасли стран дальнего зарубежья</w:t>
      </w:r>
      <w:bookmarkEnd w:id="174"/>
      <w:bookmarkEnd w:id="175"/>
      <w:bookmarkEnd w:id="176"/>
      <w:bookmarkEnd w:id="177"/>
    </w:p>
    <w:p w14:paraId="5B14089D" w14:textId="77777777" w:rsidR="00F576E4" w:rsidRPr="00E87003" w:rsidRDefault="00F576E4" w:rsidP="00F576E4">
      <w:pPr>
        <w:pStyle w:val="2"/>
      </w:pPr>
      <w:bookmarkStart w:id="178" w:name="_Hlk194558661"/>
      <w:bookmarkStart w:id="179" w:name="_Toc194558796"/>
      <w:bookmarkEnd w:id="122"/>
      <w:r w:rsidRPr="00E87003">
        <w:t>РБК Инвестиции, 02.04.2025, Пенсионный фонд Норвегии призвали к возобновлению инвестиций в ВПК</w:t>
      </w:r>
      <w:bookmarkEnd w:id="179"/>
    </w:p>
    <w:p w14:paraId="2A9B4893" w14:textId="77777777" w:rsidR="00F576E4" w:rsidRPr="00E87003" w:rsidRDefault="00F576E4" w:rsidP="00DA2694">
      <w:pPr>
        <w:pStyle w:val="3"/>
      </w:pPr>
      <w:bookmarkStart w:id="180" w:name="_Toc194558797"/>
      <w:r w:rsidRPr="00E87003">
        <w:t>Государственный пенсионный фонд Норвегии, которому принадлежат около 1,5% всех акций в мире, призвали пересмотреть этические принципы инвестиций в оборонные компании.</w:t>
      </w:r>
      <w:bookmarkEnd w:id="180"/>
    </w:p>
    <w:p w14:paraId="223C0B91" w14:textId="77777777" w:rsidR="00F576E4" w:rsidRPr="00E87003" w:rsidRDefault="00F576E4" w:rsidP="00F576E4">
      <w:r w:rsidRPr="00E87003">
        <w:t>Оппозиционные партии Норвегии призвали правительство страны разрешить Государственному пенсионному фонду Норвегии (Government Pension Fund Global, GPFG) инвестировать в некоторые оборонные компании, пишет CNBC. GPFG управляет активами на сумму свыше $1,8 трлн, это крупнейший в мире суверенный фонд благосостояния.</w:t>
      </w:r>
    </w:p>
    <w:p w14:paraId="74947D2F" w14:textId="77777777" w:rsidR="00F576E4" w:rsidRPr="00E87003" w:rsidRDefault="00F576E4" w:rsidP="00F576E4">
      <w:r w:rsidRPr="00E87003">
        <w:t>Представитель Министерства финансов Норвегии отказался от комментариев для CNBC. Представитель Norges Bank Investment Management, управляющей компании фонда, отказался комментировать призывы к пересмотру этических принципов фонда.</w:t>
      </w:r>
    </w:p>
    <w:p w14:paraId="7F936729" w14:textId="77777777" w:rsidR="00F576E4" w:rsidRPr="00E87003" w:rsidRDefault="00F576E4" w:rsidP="00F576E4">
      <w:r w:rsidRPr="00E87003">
        <w:t>С начала 2000-х годов Государственному пенсионному фонду Норвегии запрещено приобретать доли в компаниях, производящих критически важные компоненты для ядерного оружия. Фонду также запрещено инвестировать в компании, которые, помимо прочего, занимаются производством кассетных боеприпасов, противопехотных мин и табака.</w:t>
      </w:r>
    </w:p>
    <w:p w14:paraId="54E99019" w14:textId="77777777" w:rsidR="00F576E4" w:rsidRPr="00E87003" w:rsidRDefault="00F576E4" w:rsidP="00F576E4">
      <w:r w:rsidRPr="00E87003">
        <w:t>Оппозиционные партии в Норвегии назвали многолетний запрет нелогичным в условиях нынешней ситуации в сфере безопасности, сообщил CNBC. Они сослались на конфликт в Восточной Европе и значительное перевооружение таких стран, как Китай, в последние годы.</w:t>
      </w:r>
    </w:p>
    <w:p w14:paraId="1F49E0D5" w14:textId="77777777" w:rsidR="00F576E4" w:rsidRPr="00E87003" w:rsidRDefault="00F576E4" w:rsidP="00F576E4">
      <w:pPr>
        <w:rPr>
          <w:lang w:val="en-US"/>
        </w:rPr>
      </w:pPr>
      <w:r w:rsidRPr="00E87003">
        <w:rPr>
          <w:lang w:val="en-US"/>
        </w:rPr>
        <w:t xml:space="preserve">Norges Bank Investment Management — </w:t>
      </w:r>
      <w:r w:rsidRPr="00E87003">
        <w:t>подразделение</w:t>
      </w:r>
      <w:r w:rsidRPr="00E87003">
        <w:rPr>
          <w:lang w:val="en-US"/>
        </w:rPr>
        <w:t xml:space="preserve"> </w:t>
      </w:r>
      <w:r w:rsidRPr="00E87003">
        <w:t>Норвежского</w:t>
      </w:r>
      <w:r w:rsidRPr="00E87003">
        <w:rPr>
          <w:lang w:val="en-US"/>
        </w:rPr>
        <w:t xml:space="preserve"> </w:t>
      </w:r>
      <w:r w:rsidRPr="00E87003">
        <w:t>центробанка</w:t>
      </w:r>
      <w:r w:rsidRPr="00E87003">
        <w:rPr>
          <w:lang w:val="en-US"/>
        </w:rPr>
        <w:t xml:space="preserve">, </w:t>
      </w:r>
      <w:r w:rsidRPr="00E87003">
        <w:t>которое</w:t>
      </w:r>
      <w:r w:rsidRPr="00E87003">
        <w:rPr>
          <w:lang w:val="en-US"/>
        </w:rPr>
        <w:t xml:space="preserve"> </w:t>
      </w:r>
      <w:r w:rsidRPr="00E87003">
        <w:t>управляет</w:t>
      </w:r>
      <w:r w:rsidRPr="00E87003">
        <w:rPr>
          <w:lang w:val="en-US"/>
        </w:rPr>
        <w:t xml:space="preserve"> </w:t>
      </w:r>
      <w:r w:rsidRPr="00E87003">
        <w:t>фондом</w:t>
      </w:r>
      <w:r w:rsidRPr="00E87003">
        <w:rPr>
          <w:lang w:val="en-US"/>
        </w:rPr>
        <w:t xml:space="preserve"> Government Pension Fund Global.</w:t>
      </w:r>
    </w:p>
    <w:p w14:paraId="7043055F" w14:textId="77777777" w:rsidR="00F576E4" w:rsidRPr="00E87003" w:rsidRDefault="00F576E4" w:rsidP="00F576E4">
      <w:r w:rsidRPr="00E87003">
        <w:t>Ранее фонд исключил из портфеля акции британского оборонного подрядчика BAE Systems из-за производства компанией ключевых компонентов для ядерного оружия, а также бумаги американского оборонного подрядчика Lockheed Matin из-за производства кассетных боеприпасов.</w:t>
      </w:r>
    </w:p>
    <w:p w14:paraId="5631FDFA" w14:textId="77777777" w:rsidR="00F576E4" w:rsidRPr="00E87003" w:rsidRDefault="00F576E4" w:rsidP="00F576E4">
      <w:r w:rsidRPr="00E87003">
        <w:t>Акции оборонных компаний, как правило, исключаются из портфеля из-за экологических, социальных и управленческих факторов (ESG) из-за этических проблем, связанных с участием отрасли в военных действиях.</w:t>
      </w:r>
    </w:p>
    <w:p w14:paraId="56E95262" w14:textId="77777777" w:rsidR="00F576E4" w:rsidRPr="00E87003" w:rsidRDefault="00F576E4" w:rsidP="00F576E4">
      <w:r w:rsidRPr="00E87003">
        <w:t>В 2024 году Государственный пенсионный фонд Норвегии получил прибыль в размере 2,511 трлн норвежских крон (около $221,8 млрд). Общая доходность инвестиций крупнейшего в мире суверенного фонда составила 13%. На конец 2024 года GPFG управляла активами на сумму свыше $1,74 трлн.</w:t>
      </w:r>
    </w:p>
    <w:p w14:paraId="500A6F63" w14:textId="77777777" w:rsidR="00F576E4" w:rsidRPr="00E87003" w:rsidRDefault="00F576E4" w:rsidP="00F576E4">
      <w:r w:rsidRPr="00E87003">
        <w:t xml:space="preserve">Норвежский государственный пенсионный фонд был создан в 1996 году. Он инвестирует доходы Норвегии от добычи нефти и газа в разные активы. Фонд </w:t>
      </w:r>
      <w:r w:rsidRPr="00E87003">
        <w:lastRenderedPageBreak/>
        <w:t>инвестирует только за рубежом, чтобы норвежская экономика не перегревалась. GPFG вложил деньги в более чем 8650 компаний в более чем 60 странах.</w:t>
      </w:r>
    </w:p>
    <w:p w14:paraId="3B60177C" w14:textId="4DD9F7A7" w:rsidR="00F576E4" w:rsidRPr="00E87003" w:rsidRDefault="00F576E4" w:rsidP="00F576E4">
      <w:r w:rsidRPr="00E87003">
        <w:t xml:space="preserve">По состоянию на конец 2024 года вложения в акции составляли 71,4% его активов. Часть средств инвестируется в </w:t>
      </w:r>
      <w:r w:rsidR="00BD7B89" w:rsidRPr="00E87003">
        <w:t>облигации,</w:t>
      </w:r>
      <w:r w:rsidRPr="00E87003">
        <w:t xml:space="preserve"> а также в инфраструктуру возобновляемых источников энергии. Кроме того, фонду принадлежат сотни зданий в крупных городах мира, которые приносят доход от сдачи в аренду. Фонд также получает стабильный поток доходов от кредитования стран и компаний. На конец прошлого года на ценные бумаги с фиксированным доходом приходилось 26,6% вложений фонда, на недвижимость — 1,8%, а на инфраструктуру возобновляемых источников энергии — 0,1%.</w:t>
      </w:r>
    </w:p>
    <w:p w14:paraId="71028C97" w14:textId="298BF1BD" w:rsidR="00412811" w:rsidRDefault="00F576E4" w:rsidP="00C64C64">
      <w:hyperlink r:id="rId50" w:history="1">
        <w:r w:rsidRPr="00E87003">
          <w:rPr>
            <w:rStyle w:val="a3"/>
          </w:rPr>
          <w:t>https://www.rbc.ru/quote/news/article/67ececed9a79478878c85085</w:t>
        </w:r>
      </w:hyperlink>
      <w:bookmarkEnd w:id="178"/>
    </w:p>
    <w:sectPr w:rsidR="00412811" w:rsidSect="00B01BEA">
      <w:headerReference w:type="default" r:id="rId51"/>
      <w:footerReference w:type="default" r:id="rId5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43F9C" w14:textId="77777777" w:rsidR="00032F2F" w:rsidRDefault="00032F2F">
      <w:r>
        <w:separator/>
      </w:r>
    </w:p>
  </w:endnote>
  <w:endnote w:type="continuationSeparator" w:id="0">
    <w:p w14:paraId="11CB0170" w14:textId="77777777" w:rsidR="00032F2F" w:rsidRDefault="0003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5B8C3" w14:textId="77777777" w:rsidR="00E87003" w:rsidRPr="00D64E5C" w:rsidRDefault="00E87003"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1C5988" w:rsidRPr="001C5988">
      <w:rPr>
        <w:rFonts w:ascii="Cambria" w:hAnsi="Cambria"/>
        <w:b/>
        <w:noProof/>
      </w:rPr>
      <w:t>2</w:t>
    </w:r>
    <w:r w:rsidRPr="00CB47BF">
      <w:rPr>
        <w:b/>
      </w:rPr>
      <w:fldChar w:fldCharType="end"/>
    </w:r>
  </w:p>
  <w:p w14:paraId="2F7DDE51" w14:textId="77777777" w:rsidR="00E87003" w:rsidRPr="00D15988" w:rsidRDefault="00E87003"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B4617" w14:textId="77777777" w:rsidR="00032F2F" w:rsidRDefault="00032F2F">
      <w:r>
        <w:separator/>
      </w:r>
    </w:p>
  </w:footnote>
  <w:footnote w:type="continuationSeparator" w:id="0">
    <w:p w14:paraId="64A156F8" w14:textId="77777777" w:rsidR="00032F2F" w:rsidRDefault="00032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A04B6" w14:textId="77777777" w:rsidR="00E87003" w:rsidRDefault="00000000" w:rsidP="00122493">
    <w:pPr>
      <w:tabs>
        <w:tab w:val="left" w:pos="555"/>
        <w:tab w:val="right" w:pos="9071"/>
      </w:tabs>
      <w:jc w:val="center"/>
    </w:pPr>
    <w:r>
      <w:rPr>
        <w:noProof/>
      </w:rPr>
      <w:pict w14:anchorId="18350F8B">
        <v:roundrect id="_x0000_s1025" alt="" style="position:absolute;left:0;text-align:left;margin-left:127.5pt;margin-top:-13.7pt;width:188.6pt;height:31.25pt;z-index:1;mso-wrap-style:square;mso-wrap-edited:f;mso-width-percent:0;mso-height-percent:0;mso-width-percent:0;mso-height-percent:0;v-text-anchor:top" arcsize="10923f" stroked="f">
          <v:textbox style="mso-next-textbox:#_x0000_s1025">
            <w:txbxContent>
              <w:p w14:paraId="53A0EEE5" w14:textId="77777777" w:rsidR="00E87003" w:rsidRPr="000C041B" w:rsidRDefault="00E87003" w:rsidP="00122493">
                <w:pPr>
                  <w:ind w:right="423"/>
                  <w:jc w:val="center"/>
                  <w:rPr>
                    <w:rFonts w:cs="Arial"/>
                    <w:b/>
                    <w:color w:val="EEECE1"/>
                    <w:sz w:val="6"/>
                    <w:szCs w:val="6"/>
                  </w:rPr>
                </w:pPr>
                <w:r w:rsidRPr="000C041B">
                  <w:rPr>
                    <w:rFonts w:cs="Arial"/>
                    <w:b/>
                    <w:color w:val="EEECE1"/>
                    <w:sz w:val="6"/>
                    <w:szCs w:val="6"/>
                  </w:rPr>
                  <w:t xml:space="preserve">        </w:t>
                </w:r>
              </w:p>
              <w:p w14:paraId="5FF9A8F9" w14:textId="77777777" w:rsidR="00E87003" w:rsidRPr="00D15988" w:rsidRDefault="00E87003"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07D433E0" w14:textId="77777777" w:rsidR="00E87003" w:rsidRPr="007336C7" w:rsidRDefault="00E87003" w:rsidP="00122493">
                <w:pPr>
                  <w:ind w:right="423"/>
                  <w:rPr>
                    <w:rFonts w:cs="Arial"/>
                  </w:rPr>
                </w:pPr>
              </w:p>
              <w:p w14:paraId="72D6BC90" w14:textId="77777777" w:rsidR="00E87003" w:rsidRPr="00267F53" w:rsidRDefault="00E87003" w:rsidP="00122493"/>
            </w:txbxContent>
          </v:textbox>
        </v:roundrect>
      </w:pict>
    </w:r>
    <w:r w:rsidR="00E87003">
      <w:t xml:space="preserve">             </w:t>
    </w:r>
  </w:p>
  <w:p w14:paraId="70E38ABD" w14:textId="77777777" w:rsidR="00E87003" w:rsidRDefault="00E87003"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C64C64">
      <w:rPr>
        <w:noProof/>
      </w:rPr>
      <w:pict w14:anchorId="46A218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71.75pt;height:39pt;visibility:visible;mso-width-percent:0;mso-height-percent:0;mso-width-percent:0;mso-height-percent:0">
          <v:imagedata r:id="rId1" r:href="rId2"/>
        </v:shape>
      </w:pict>
    </w:r>
    <w:r w:rsidR="00000000">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10E21"/>
    <w:multiLevelType w:val="singleLevel"/>
    <w:tmpl w:val="8DC6531C"/>
    <w:lvl w:ilvl="0">
      <w:numFmt w:val="bullet"/>
      <w:lvlText w:val="•"/>
      <w:lvlJc w:val="left"/>
      <w:pPr>
        <w:ind w:left="420" w:hanging="360"/>
      </w:pPr>
    </w:lvl>
  </w:abstractNum>
  <w:abstractNum w:abstractNumId="11"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567327">
    <w:abstractNumId w:val="26"/>
  </w:num>
  <w:num w:numId="2" w16cid:durableId="1055620458">
    <w:abstractNumId w:val="13"/>
  </w:num>
  <w:num w:numId="3" w16cid:durableId="1967730782">
    <w:abstractNumId w:val="28"/>
  </w:num>
  <w:num w:numId="4" w16cid:durableId="1488590969">
    <w:abstractNumId w:val="18"/>
  </w:num>
  <w:num w:numId="5" w16cid:durableId="388964906">
    <w:abstractNumId w:val="19"/>
  </w:num>
  <w:num w:numId="6" w16cid:durableId="1345655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8429225">
    <w:abstractNumId w:val="25"/>
  </w:num>
  <w:num w:numId="8" w16cid:durableId="1114787560">
    <w:abstractNumId w:val="22"/>
  </w:num>
  <w:num w:numId="9" w16cid:durableId="156895286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7604822">
    <w:abstractNumId w:val="17"/>
  </w:num>
  <w:num w:numId="11" w16cid:durableId="277685916">
    <w:abstractNumId w:val="16"/>
  </w:num>
  <w:num w:numId="12" w16cid:durableId="1790709558">
    <w:abstractNumId w:val="11"/>
  </w:num>
  <w:num w:numId="13" w16cid:durableId="1073242254">
    <w:abstractNumId w:val="9"/>
  </w:num>
  <w:num w:numId="14" w16cid:durableId="767652982">
    <w:abstractNumId w:val="7"/>
  </w:num>
  <w:num w:numId="15" w16cid:durableId="566257662">
    <w:abstractNumId w:val="6"/>
  </w:num>
  <w:num w:numId="16" w16cid:durableId="849641355">
    <w:abstractNumId w:val="5"/>
  </w:num>
  <w:num w:numId="17" w16cid:durableId="59717023">
    <w:abstractNumId w:val="4"/>
  </w:num>
  <w:num w:numId="18" w16cid:durableId="1536431716">
    <w:abstractNumId w:val="8"/>
  </w:num>
  <w:num w:numId="19" w16cid:durableId="45875778">
    <w:abstractNumId w:val="3"/>
  </w:num>
  <w:num w:numId="20" w16cid:durableId="1156729901">
    <w:abstractNumId w:val="2"/>
  </w:num>
  <w:num w:numId="21" w16cid:durableId="1170754132">
    <w:abstractNumId w:val="1"/>
  </w:num>
  <w:num w:numId="22" w16cid:durableId="1700007373">
    <w:abstractNumId w:val="0"/>
  </w:num>
  <w:num w:numId="23" w16cid:durableId="168563546">
    <w:abstractNumId w:val="20"/>
  </w:num>
  <w:num w:numId="24" w16cid:durableId="1855798359">
    <w:abstractNumId w:val="27"/>
  </w:num>
  <w:num w:numId="25" w16cid:durableId="1314026770">
    <w:abstractNumId w:val="21"/>
  </w:num>
  <w:num w:numId="26" w16cid:durableId="851917865">
    <w:abstractNumId w:val="14"/>
  </w:num>
  <w:num w:numId="27" w16cid:durableId="2107774548">
    <w:abstractNumId w:val="12"/>
  </w:num>
  <w:num w:numId="28" w16cid:durableId="1311864149">
    <w:abstractNumId w:val="23"/>
  </w:num>
  <w:num w:numId="29" w16cid:durableId="984705322">
    <w:abstractNumId w:val="24"/>
  </w:num>
  <w:num w:numId="30" w16cid:durableId="1210654905">
    <w:abstractNumId w:val="15"/>
  </w:num>
  <w:num w:numId="31" w16cid:durableId="1998731148">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71C"/>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2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772"/>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43D0"/>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714"/>
    <w:rsid w:val="00087F95"/>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BE3"/>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C65"/>
    <w:rsid w:val="00102FA6"/>
    <w:rsid w:val="00103125"/>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393F"/>
    <w:rsid w:val="0011415C"/>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4904"/>
    <w:rsid w:val="00154F48"/>
    <w:rsid w:val="00155F90"/>
    <w:rsid w:val="001560FF"/>
    <w:rsid w:val="00156C94"/>
    <w:rsid w:val="00156DE5"/>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EEC"/>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1D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988"/>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404"/>
    <w:rsid w:val="001D5892"/>
    <w:rsid w:val="001D58DD"/>
    <w:rsid w:val="001D6071"/>
    <w:rsid w:val="001D60E1"/>
    <w:rsid w:val="001D61CE"/>
    <w:rsid w:val="001D61D6"/>
    <w:rsid w:val="001D703F"/>
    <w:rsid w:val="001D7897"/>
    <w:rsid w:val="001D7FB7"/>
    <w:rsid w:val="001E0564"/>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1AC"/>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57BE"/>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9DA"/>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5A7C"/>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1F25"/>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05C"/>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63"/>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9C8"/>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4CB0"/>
    <w:rsid w:val="0072580F"/>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019"/>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461"/>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1A"/>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037"/>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9F7C3D"/>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59D"/>
    <w:rsid w:val="00A8294C"/>
    <w:rsid w:val="00A831D7"/>
    <w:rsid w:val="00A8386C"/>
    <w:rsid w:val="00A8473C"/>
    <w:rsid w:val="00A85CE1"/>
    <w:rsid w:val="00A85EF8"/>
    <w:rsid w:val="00A86465"/>
    <w:rsid w:val="00A868CF"/>
    <w:rsid w:val="00A87607"/>
    <w:rsid w:val="00A87DD2"/>
    <w:rsid w:val="00A910E2"/>
    <w:rsid w:val="00A912CC"/>
    <w:rsid w:val="00A92A3D"/>
    <w:rsid w:val="00A92F03"/>
    <w:rsid w:val="00A93033"/>
    <w:rsid w:val="00A93776"/>
    <w:rsid w:val="00A938C1"/>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791"/>
    <w:rsid w:val="00AB3B14"/>
    <w:rsid w:val="00AB3C75"/>
    <w:rsid w:val="00AB437D"/>
    <w:rsid w:val="00AB50BA"/>
    <w:rsid w:val="00AB66F8"/>
    <w:rsid w:val="00AB6BE8"/>
    <w:rsid w:val="00AB6C70"/>
    <w:rsid w:val="00AC0F0D"/>
    <w:rsid w:val="00AC1196"/>
    <w:rsid w:val="00AC134F"/>
    <w:rsid w:val="00AC16B4"/>
    <w:rsid w:val="00AC1ABE"/>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951"/>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5B8B"/>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41"/>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630"/>
    <w:rsid w:val="00BD3BB3"/>
    <w:rsid w:val="00BD4640"/>
    <w:rsid w:val="00BD4CCC"/>
    <w:rsid w:val="00BD512B"/>
    <w:rsid w:val="00BD5389"/>
    <w:rsid w:val="00BD5C5E"/>
    <w:rsid w:val="00BD688B"/>
    <w:rsid w:val="00BD68D4"/>
    <w:rsid w:val="00BD7B89"/>
    <w:rsid w:val="00BD7D5B"/>
    <w:rsid w:val="00BE31EB"/>
    <w:rsid w:val="00BE3895"/>
    <w:rsid w:val="00BE56F8"/>
    <w:rsid w:val="00BE5CB2"/>
    <w:rsid w:val="00BE6EEC"/>
    <w:rsid w:val="00BE784F"/>
    <w:rsid w:val="00BF086F"/>
    <w:rsid w:val="00BF0BFF"/>
    <w:rsid w:val="00BF0F4D"/>
    <w:rsid w:val="00BF10FD"/>
    <w:rsid w:val="00BF14B3"/>
    <w:rsid w:val="00BF36DE"/>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0BD"/>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945"/>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9A"/>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C64"/>
    <w:rsid w:val="00C64E71"/>
    <w:rsid w:val="00C664DF"/>
    <w:rsid w:val="00C66510"/>
    <w:rsid w:val="00C66CFB"/>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799"/>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8E6"/>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8D2"/>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557B"/>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2694"/>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6F58"/>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7FE"/>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87003"/>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086A"/>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6E4"/>
    <w:rsid w:val="00F57BDB"/>
    <w:rsid w:val="00F57F63"/>
    <w:rsid w:val="00F6077C"/>
    <w:rsid w:val="00F60BBE"/>
    <w:rsid w:val="00F61D9C"/>
    <w:rsid w:val="00F62E35"/>
    <w:rsid w:val="00F6354D"/>
    <w:rsid w:val="00F63DD6"/>
    <w:rsid w:val="00F64B77"/>
    <w:rsid w:val="00F64F5B"/>
    <w:rsid w:val="00F6607F"/>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56A62E"/>
  <w15:docId w15:val="{82CCAACA-CFC2-144B-92DB-4E875512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D8557B"/>
    <w:pPr>
      <w:spacing w:before="240" w:after="60"/>
      <w:outlineLvl w:val="4"/>
    </w:pPr>
    <w:rPr>
      <w:rFonts w:ascii="Calibri" w:hAnsi="Calibri"/>
      <w:b/>
      <w:bCs/>
      <w:i/>
      <w:iCs/>
      <w:sz w:val="26"/>
      <w:szCs w:val="26"/>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1">
    <w:name w:val="toc 5"/>
    <w:basedOn w:val="a"/>
    <w:next w:val="a"/>
    <w:uiPriority w:val="39"/>
    <w:rsid w:val="003F1B8B"/>
    <w:pPr>
      <w:ind w:left="960"/>
    </w:pPr>
    <w:rPr>
      <w:sz w:val="20"/>
    </w:rPr>
  </w:style>
  <w:style w:type="paragraph" w:customStyle="1" w:styleId="52">
    <w:name w:val="Заглавие 5"/>
    <w:basedOn w:val="a"/>
    <w:link w:val="53"/>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3">
    <w:name w:val="Заглавие 5 Знак"/>
    <w:link w:val="52"/>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087F95"/>
    <w:rPr>
      <w:rFonts w:ascii="Arial" w:eastAsia="Calibri" w:hAnsi="Arial"/>
      <w:sz w:val="20"/>
      <w:szCs w:val="20"/>
      <w:lang w:eastAsia="en-US"/>
    </w:rPr>
  </w:style>
  <w:style w:type="character" w:customStyle="1" w:styleId="DocumentBody0">
    <w:name w:val="DocumentBody Знак"/>
    <w:link w:val="DocumentBody"/>
    <w:rsid w:val="00087F95"/>
    <w:rPr>
      <w:rFonts w:ascii="Arial" w:eastAsia="Calibri" w:hAnsi="Arial"/>
      <w:lang w:eastAsia="en-US"/>
    </w:rPr>
  </w:style>
  <w:style w:type="character" w:customStyle="1" w:styleId="DocumentOriginalLink">
    <w:name w:val="Document_OriginalLink"/>
    <w:uiPriority w:val="1"/>
    <w:qFormat/>
    <w:rsid w:val="00087F95"/>
    <w:rPr>
      <w:rFonts w:ascii="Arial" w:hAnsi="Arial"/>
      <w:b w:val="0"/>
      <w:color w:val="0000FF"/>
      <w:sz w:val="18"/>
      <w:u w:val="single"/>
    </w:rPr>
  </w:style>
  <w:style w:type="character" w:customStyle="1" w:styleId="DocumentSource">
    <w:name w:val="Document_Source"/>
    <w:uiPriority w:val="1"/>
    <w:qFormat/>
    <w:rsid w:val="00087F95"/>
    <w:rPr>
      <w:rFonts w:ascii="Arial" w:hAnsi="Arial"/>
      <w:b w:val="0"/>
      <w:i/>
      <w:sz w:val="22"/>
    </w:rPr>
  </w:style>
  <w:style w:type="character" w:customStyle="1" w:styleId="DocumentName">
    <w:name w:val="Document_Name"/>
    <w:uiPriority w:val="1"/>
    <w:qFormat/>
    <w:rsid w:val="00087F95"/>
    <w:rPr>
      <w:rFonts w:ascii="Arial" w:hAnsi="Arial"/>
      <w:b/>
      <w:caps/>
      <w:smallCaps w:val="0"/>
      <w:sz w:val="24"/>
    </w:rPr>
  </w:style>
  <w:style w:type="paragraph" w:customStyle="1" w:styleId="DocumentDoubles">
    <w:name w:val="Document_Doubles"/>
    <w:basedOn w:val="a"/>
    <w:next w:val="a"/>
    <w:link w:val="DocumentDoublesChar"/>
    <w:qFormat/>
    <w:rsid w:val="00156DE5"/>
    <w:pPr>
      <w:spacing w:before="120"/>
      <w:jc w:val="left"/>
    </w:pPr>
    <w:rPr>
      <w:rFonts w:ascii="Arial" w:eastAsia="Calibri" w:hAnsi="Arial"/>
      <w:sz w:val="16"/>
      <w:szCs w:val="20"/>
      <w:lang w:eastAsia="en-US"/>
    </w:rPr>
  </w:style>
  <w:style w:type="character" w:customStyle="1" w:styleId="DoubleOriginalLink">
    <w:name w:val="Double_OriginalLink"/>
    <w:uiPriority w:val="1"/>
    <w:qFormat/>
    <w:rsid w:val="00156DE5"/>
    <w:rPr>
      <w:rFonts w:ascii="Arial" w:hAnsi="Arial"/>
      <w:color w:val="0000FF"/>
      <w:sz w:val="18"/>
      <w:u w:val="single"/>
    </w:rPr>
  </w:style>
  <w:style w:type="paragraph" w:customStyle="1" w:styleId="TitleDoubles">
    <w:name w:val="TitleDoubles"/>
    <w:basedOn w:val="a"/>
    <w:link w:val="TitleDoublesChar"/>
    <w:qFormat/>
    <w:rsid w:val="00156DE5"/>
    <w:pPr>
      <w:spacing w:before="120"/>
      <w:jc w:val="left"/>
    </w:pPr>
    <w:rPr>
      <w:rFonts w:ascii="Arial" w:hAnsi="Arial" w:cs="Arial"/>
      <w:b/>
      <w:bCs/>
      <w:color w:val="808080"/>
      <w:sz w:val="20"/>
    </w:rPr>
  </w:style>
  <w:style w:type="character" w:customStyle="1" w:styleId="TitleDoublesChar">
    <w:name w:val="TitleDoubles Char"/>
    <w:link w:val="TitleDoubles"/>
    <w:rsid w:val="00156DE5"/>
    <w:rPr>
      <w:rFonts w:ascii="Arial" w:hAnsi="Arial" w:cs="Arial"/>
      <w:b/>
      <w:bCs/>
      <w:color w:val="808080"/>
      <w:szCs w:val="24"/>
    </w:rPr>
  </w:style>
  <w:style w:type="character" w:customStyle="1" w:styleId="DocumentDoublesChar">
    <w:name w:val="Document_Doubles Char"/>
    <w:link w:val="DocumentDoubles"/>
    <w:rsid w:val="00156DE5"/>
    <w:rPr>
      <w:rFonts w:ascii="Arial" w:eastAsia="Calibri" w:hAnsi="Arial"/>
      <w:sz w:val="16"/>
      <w:lang w:eastAsia="en-US"/>
    </w:rPr>
  </w:style>
  <w:style w:type="paragraph" w:customStyle="1" w:styleId="DocumentAuthor">
    <w:name w:val="DocumentAuthor"/>
    <w:basedOn w:val="a"/>
    <w:next w:val="a"/>
    <w:link w:val="DocumentAuthorChar"/>
    <w:qFormat/>
    <w:rsid w:val="002557BE"/>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2557BE"/>
    <w:rPr>
      <w:rFonts w:ascii="Arial" w:eastAsia="Calibri" w:hAnsi="Arial"/>
      <w:sz w:val="16"/>
      <w:lang w:eastAsia="en-US"/>
    </w:rPr>
  </w:style>
  <w:style w:type="character" w:customStyle="1" w:styleId="50">
    <w:name w:val="Заголовок 5 Знак"/>
    <w:link w:val="5"/>
    <w:semiHidden/>
    <w:rsid w:val="00D8557B"/>
    <w:rPr>
      <w:rFonts w:ascii="Calibri" w:eastAsia="Times New Roman" w:hAnsi="Calibri" w:cs="Times New Roman"/>
      <w:b/>
      <w:bCs/>
      <w:i/>
      <w:iCs/>
      <w:sz w:val="26"/>
      <w:szCs w:val="26"/>
    </w:rPr>
  </w:style>
  <w:style w:type="character" w:customStyle="1" w:styleId="NavigationLink">
    <w:name w:val="Navigation_Link"/>
    <w:uiPriority w:val="1"/>
    <w:qFormat/>
    <w:rsid w:val="00DA2694"/>
    <w:rPr>
      <w:rFonts w:ascii="Arial" w:hAnsi="Arial"/>
      <w:color w:val="auto"/>
      <w:sz w:val="18"/>
      <w:u w:val="single"/>
    </w:rPr>
  </w:style>
  <w:style w:type="character" w:customStyle="1" w:styleId="DocumentDate">
    <w:name w:val="Document_Date"/>
    <w:uiPriority w:val="1"/>
    <w:qFormat/>
    <w:rsid w:val="00DA2694"/>
    <w:rPr>
      <w:rFonts w:ascii="Arial" w:hAnsi="Arial"/>
      <w:b w:val="0"/>
      <w:sz w:val="16"/>
    </w:rPr>
  </w:style>
  <w:style w:type="character" w:styleId="aff7">
    <w:name w:val="Unresolved Mention"/>
    <w:uiPriority w:val="99"/>
    <w:semiHidden/>
    <w:unhideWhenUsed/>
    <w:rsid w:val="009F7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60712152">
      <w:bodyDiv w:val="1"/>
      <w:marLeft w:val="0"/>
      <w:marRight w:val="0"/>
      <w:marTop w:val="0"/>
      <w:marBottom w:val="0"/>
      <w:divBdr>
        <w:top w:val="none" w:sz="0" w:space="0" w:color="auto"/>
        <w:left w:val="none" w:sz="0" w:space="0" w:color="auto"/>
        <w:bottom w:val="none" w:sz="0" w:space="0" w:color="auto"/>
        <w:right w:val="none" w:sz="0" w:space="0" w:color="auto"/>
      </w:divBdr>
      <w:divsChild>
        <w:div w:id="1928416495">
          <w:marLeft w:val="0"/>
          <w:marRight w:val="0"/>
          <w:marTop w:val="0"/>
          <w:marBottom w:val="0"/>
          <w:divBdr>
            <w:top w:val="none" w:sz="0" w:space="0" w:color="auto"/>
            <w:left w:val="none" w:sz="0" w:space="0" w:color="auto"/>
            <w:bottom w:val="none" w:sz="0" w:space="0" w:color="auto"/>
            <w:right w:val="none" w:sz="0" w:space="0" w:color="auto"/>
          </w:divBdr>
        </w:div>
      </w:divsChild>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panies.rbc.ru/news/eDpitI9dn1/mnpf-bolshoj-vyistupil-partnerom-viii-konferentsii-finfin-2025/" TargetMode="External"/><Relationship Id="rId18" Type="http://schemas.openxmlformats.org/officeDocument/2006/relationships/hyperlink" Target="https://www.rbc.ru/quote/news/article/67ecfbad9a79472ecca9f8f1" TargetMode="External"/><Relationship Id="rId26" Type="http://schemas.openxmlformats.org/officeDocument/2006/relationships/hyperlink" Target="https://news-life.pro/spb/400780559/" TargetMode="External"/><Relationship Id="rId39" Type="http://schemas.openxmlformats.org/officeDocument/2006/relationships/hyperlink" Target="https://primpress.ru/article/121977" TargetMode="External"/><Relationship Id="rId3" Type="http://schemas.openxmlformats.org/officeDocument/2006/relationships/settings" Target="settings.xml"/><Relationship Id="rId21" Type="http://schemas.openxmlformats.org/officeDocument/2006/relationships/hyperlink" Target="https://www.newsinfo.ru/news/semia/864763/" TargetMode="External"/><Relationship Id="rId34" Type="http://schemas.openxmlformats.org/officeDocument/2006/relationships/hyperlink" Target="https://lenta.ru/articles/2025/04/02/kto-poydet-na-pensiyu-po-starosti-v-2025-godu/" TargetMode="External"/><Relationship Id="rId42" Type="http://schemas.openxmlformats.org/officeDocument/2006/relationships/hyperlink" Target="https://www.vedomosti.ru/politics/articles/2025/04/02/1101879-putin-poruchil-kabminu" TargetMode="External"/><Relationship Id="rId47" Type="http://schemas.openxmlformats.org/officeDocument/2006/relationships/hyperlink" Target="https://www.kommersant.ru/doc/7623674" TargetMode="External"/><Relationship Id="rId50" Type="http://schemas.openxmlformats.org/officeDocument/2006/relationships/hyperlink" Target="https://www.rbc.ru/quote/news/article/67ececed9a79478878c85085" TargetMode="External"/><Relationship Id="rId7" Type="http://schemas.openxmlformats.org/officeDocument/2006/relationships/image" Target="media/image1.png"/><Relationship Id="rId12" Type="http://schemas.openxmlformats.org/officeDocument/2006/relationships/hyperlink" Target="https://www.napf.ru/news/napf_news_market/keshbek-na-schet-pds-dostupen-v-severgazbanke-i-npf-gazfond-pensionnye-nakopleniya/" TargetMode="External"/><Relationship Id="rId17" Type="http://schemas.openxmlformats.org/officeDocument/2006/relationships/hyperlink" Target="https://rg.ru/2025/04/02/minfin-i-cb-prevratiat-40-sberezhenij-rossiian-v-dlinnye-dengi-dlia-strany.html" TargetMode="External"/><Relationship Id="rId25" Type="http://schemas.openxmlformats.org/officeDocument/2006/relationships/hyperlink" Target="https://pensiya.pro/skolko-zarabotali-krupnejshie-npf-s-programmoj-dolgosrochnyh-sberezhenij-rejting/" TargetMode="External"/><Relationship Id="rId33" Type="http://schemas.openxmlformats.org/officeDocument/2006/relationships/hyperlink" Target="https://govoritmoskva.ru/news/447387/" TargetMode="External"/><Relationship Id="rId38" Type="http://schemas.openxmlformats.org/officeDocument/2006/relationships/hyperlink" Target="https://konkurent.ru/article/76129" TargetMode="External"/><Relationship Id="rId46" Type="http://schemas.openxmlformats.org/officeDocument/2006/relationships/hyperlink" Target="https://www.russian-telecoms.net/index.php?option=com_kunena&amp;view=topic&amp;catid=11&amp;id=118250&amp;Itemid=216&amp;mesid=118398" TargetMode="External"/><Relationship Id="rId2" Type="http://schemas.openxmlformats.org/officeDocument/2006/relationships/styles" Target="styles.xml"/><Relationship Id="rId16" Type="http://schemas.openxmlformats.org/officeDocument/2006/relationships/hyperlink" Target="https://pensiya.pro/news/vznosy-klientov-npf-bolshoj-vyrosli-v-poltora-raza/" TargetMode="External"/><Relationship Id="rId20" Type="http://schemas.openxmlformats.org/officeDocument/2006/relationships/hyperlink" Target="https://ko.ru/news/minfin-i-tsb-rf-obsuzhdayut-lgoty-dlya-razvitiya-semeynykh-sberezheniy/" TargetMode="External"/><Relationship Id="rId29" Type="http://schemas.openxmlformats.org/officeDocument/2006/relationships/hyperlink" Target="https://rbanews.ru/kommentarij-r-vesterovskogo-po-iniciative-minfina-o-vvedenii-nalogovyx-lgot-dlya-kompanij/" TargetMode="External"/><Relationship Id="rId41" Type="http://schemas.openxmlformats.org/officeDocument/2006/relationships/hyperlink" Target="https://www.pravda.ru/news/economics/2201391-pilot-pension-reality/"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broker.ru/?p=79898" TargetMode="External"/><Relationship Id="rId24" Type="http://schemas.openxmlformats.org/officeDocument/2006/relationships/hyperlink" Target="https://consult-cct.ru/kommentarij-r-vesterovskogo-po-inicziative-minfina-o-vvedenii-nalogovyh-lgot-dlya-kompanij" TargetMode="External"/><Relationship Id="rId32" Type="http://schemas.openxmlformats.org/officeDocument/2006/relationships/hyperlink" Target="https://russian.rt.com/russia/news/1457938-pensii-2026-god-dvuhetapnaya-indeksaciya?utm_source=rss&amp;utm_medium=rss&amp;utm_campaign=RSS" TargetMode="External"/><Relationship Id="rId37" Type="http://schemas.openxmlformats.org/officeDocument/2006/relationships/hyperlink" Target="https://konkurent.ru/article/76155" TargetMode="External"/><Relationship Id="rId40" Type="http://schemas.openxmlformats.org/officeDocument/2006/relationships/hyperlink" Target="https://argumenti.ru/society/2025/04/945030" TargetMode="External"/><Relationship Id="rId45" Type="http://schemas.openxmlformats.org/officeDocument/2006/relationships/hyperlink" Target="https://www.comnews.ru/content/238613/2025-04-03/2025-w14/1008/novoe-nalogovoe-regulirovanie-i-dostup-regionov-podstegnut-rossiyskiy-rynok-cfa"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ensiya.pro/news/83-rossiyan-vynuzhdeny-pomogat-rodstvennikam-pensioneram-dengami-opros/" TargetMode="External"/><Relationship Id="rId23" Type="http://schemas.openxmlformats.org/officeDocument/2006/relationships/hyperlink" Target="https://lenta.ru/news/2025/04/02/v-sbere-otsenili-initsiativu-minfina-o-nalogovyh-lgotah-po-pds-dlya-rabotodateley/" TargetMode="External"/><Relationship Id="rId28" Type="http://schemas.openxmlformats.org/officeDocument/2006/relationships/hyperlink" Target="https://www.globalmsk.ru/news/id/74053" TargetMode="External"/><Relationship Id="rId36" Type="http://schemas.openxmlformats.org/officeDocument/2006/relationships/hyperlink" Target="https://aif.ru/society/u-kogo-est-pensionnye-nakopleniya-i-kak-ih-poluchit" TargetMode="External"/><Relationship Id="rId49" Type="http://schemas.openxmlformats.org/officeDocument/2006/relationships/hyperlink" Target="https://lsm.kz/investirovanie-aktivov-enpf-obzor" TargetMode="External"/><Relationship Id="rId10" Type="http://schemas.openxmlformats.org/officeDocument/2006/relationships/hyperlink" Target="https://pensiya.pro/news/npf-budushhee-otchitalsya-o-roste-pribyli-na-39/" TargetMode="External"/><Relationship Id="rId19" Type="http://schemas.openxmlformats.org/officeDocument/2006/relationships/hyperlink" Target="https://incrussia.ru/news/minfin-predlozhil-nalogovuyu-lgotu-dlya-rabotodatelej-kotorye-sofinansiruyut-pds-sotrudnikov/" TargetMode="External"/><Relationship Id="rId31" Type="http://schemas.openxmlformats.org/officeDocument/2006/relationships/hyperlink" Target="https://www.interfax.ru/russia/1017807" TargetMode="External"/><Relationship Id="rId44" Type="http://schemas.openxmlformats.org/officeDocument/2006/relationships/hyperlink" Target="https://www.akm.ru/press/polovina_rossiyan_gotovy_smenit_rabotu_radi_rasshirennogo_sotspaketa_ot_rabotodatelya/"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gazeta.ru/family/news/2025/04/02/25453208.shtml" TargetMode="External"/><Relationship Id="rId22" Type="http://schemas.openxmlformats.org/officeDocument/2006/relationships/hyperlink" Target="https://www.gazeta.ru/business/news/2025/04/02/25462712.shtml" TargetMode="External"/><Relationship Id="rId27" Type="http://schemas.openxmlformats.org/officeDocument/2006/relationships/hyperlink" Target="https://munbog.gosuslugi.ru/dlya-zhiteley/novosti-i-reportazhi/novosti-193_1086.html" TargetMode="External"/><Relationship Id="rId30" Type="http://schemas.openxmlformats.org/officeDocument/2006/relationships/hyperlink" Target="https://www.pnp.ru/politics/zakonoproekt-o-poluchenii-invalidami-svo-dvukh-pensiy-podderzhali-ko-ii-chteniyu.html" TargetMode="External"/><Relationship Id="rId35" Type="http://schemas.openxmlformats.org/officeDocument/2006/relationships/hyperlink" Target="https://news.ru/economics/stalo-izvestno-mogut-li-v-rf-vnov-podnyat-pensionnyj-vozrast/" TargetMode="External"/><Relationship Id="rId43" Type="http://schemas.openxmlformats.org/officeDocument/2006/relationships/hyperlink" Target="https://tass.ru/novosti-partnerov/23576881" TargetMode="External"/><Relationship Id="rId48" Type="http://schemas.openxmlformats.org/officeDocument/2006/relationships/hyperlink" Target="https://belta.by/society/view/deputaty-prinjali-v-pervom-chtenii-zakonoproekt-po-voprosam-sotsstrahovanija-i-pensionnogo-706493-2025/" TargetMode="External"/><Relationship Id="rId8" Type="http://schemas.openxmlformats.org/officeDocument/2006/relationships/hyperlink" Target="https://pensiya.pro/news/bank-rossii-uzhestochil-pravila-testirovaniya-pensionnyh-fondov/" TargetMode="External"/><Relationship Id="rId51"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23808</Words>
  <Characters>135712</Characters>
  <Application>Microsoft Office Word</Application>
  <DocSecurity>0</DocSecurity>
  <Lines>1130</Lines>
  <Paragraphs>318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159202</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29</cp:revision>
  <cp:lastPrinted>2025-04-03T04:44:00Z</cp:lastPrinted>
  <dcterms:created xsi:type="dcterms:W3CDTF">2025-03-26T04:49:00Z</dcterms:created>
  <dcterms:modified xsi:type="dcterms:W3CDTF">2025-04-03T04:45:00Z</dcterms:modified>
  <cp:category>НАПФ</cp:category>
  <cp:contentStatus>И-Консалтинг</cp:contentStatus>
</cp:coreProperties>
</file>